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 w:themeColor="background1"/>
  <w:body>
    <w:p w14:paraId="1CAB411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OBRAZLOŽENJE</w:t>
      </w:r>
    </w:p>
    <w:p w14:paraId="12FF19F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OPĆEG I POSEBNOG DIJELA GODIŠNJEG IZVJEŠTAJA O IZVRŠENJU</w:t>
      </w:r>
    </w:p>
    <w:p w14:paraId="4651732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Proračuna Općine Podravske Sesvete za 2025. godinu</w:t>
      </w:r>
    </w:p>
    <w:p w14:paraId="1FA878A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za razdoblje 1.1. do 31.12.2025.</w:t>
      </w:r>
    </w:p>
    <w:p w14:paraId="259750F3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34014AB0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783D7D7">
      <w:pPr>
        <w:pStyle w:val="10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SADRŽAJ GODIŠNJEG IZVJEŠTAJA O IZVRŠENJU PRORAČUNA</w:t>
      </w:r>
    </w:p>
    <w:p w14:paraId="17FC4EAA">
      <w:pPr>
        <w:rPr>
          <w:rFonts w:ascii="Times New Roman" w:hAnsi="Times New Roman" w:cs="Times New Roman"/>
          <w:sz w:val="32"/>
          <w:szCs w:val="32"/>
        </w:rPr>
      </w:pPr>
    </w:p>
    <w:p w14:paraId="725983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>Temeljem odredbi Zakona o Proračunu („Narodne novine“ broj 144/21) , te Pravilnika o polugodišnjem i godišnjem izvještaju o izvršenju proračuna  i financijskog plana („Narodne novine“ broj 85/23) Godišnji izvještaj o izvršenju Proračuna Općine Podravske Sesvete za 2025. godinu sadrži:</w:t>
      </w:r>
    </w:p>
    <w:p w14:paraId="54BBC208">
      <w:pPr>
        <w:rPr>
          <w:rFonts w:ascii="Times New Roman" w:hAnsi="Times New Roman" w:cs="Times New Roman"/>
          <w:sz w:val="24"/>
          <w:szCs w:val="24"/>
        </w:rPr>
      </w:pPr>
    </w:p>
    <w:p w14:paraId="5DE01E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Opći dio    </w:t>
      </w:r>
    </w:p>
    <w:p w14:paraId="3078E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sažetak Računa prihoda i rashoda i Računa Financiranja</w:t>
      </w:r>
    </w:p>
    <w:p w14:paraId="2C0D68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Račun financiranja</w:t>
      </w:r>
    </w:p>
    <w:p w14:paraId="228D07A7">
      <w:pPr>
        <w:rPr>
          <w:rFonts w:ascii="Times New Roman" w:hAnsi="Times New Roman" w:cs="Times New Roman"/>
          <w:sz w:val="24"/>
          <w:szCs w:val="24"/>
        </w:rPr>
      </w:pPr>
    </w:p>
    <w:p w14:paraId="0AC99C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Posebni dio</w:t>
      </w:r>
    </w:p>
    <w:p w14:paraId="294E8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Izvještaj po organizacijskoj klasifikaciji</w:t>
      </w:r>
    </w:p>
    <w:p w14:paraId="63E029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Izvještaj po programskoj klasifikaciji</w:t>
      </w:r>
    </w:p>
    <w:p w14:paraId="2F3B26A7">
      <w:pPr>
        <w:rPr>
          <w:rFonts w:ascii="Times New Roman" w:hAnsi="Times New Roman" w:cs="Times New Roman"/>
          <w:sz w:val="24"/>
          <w:szCs w:val="24"/>
        </w:rPr>
      </w:pPr>
    </w:p>
    <w:p w14:paraId="313CE7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Obrazloženje</w:t>
      </w:r>
    </w:p>
    <w:p w14:paraId="149E56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Obrazloženje općeg i posebnog dijela</w:t>
      </w:r>
    </w:p>
    <w:p w14:paraId="70DE9D1C">
      <w:pPr>
        <w:rPr>
          <w:rFonts w:ascii="Times New Roman" w:hAnsi="Times New Roman" w:cs="Times New Roman"/>
          <w:sz w:val="24"/>
          <w:szCs w:val="24"/>
        </w:rPr>
      </w:pPr>
    </w:p>
    <w:p w14:paraId="157F11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Posebni izvještaji</w:t>
      </w:r>
    </w:p>
    <w:p w14:paraId="40AB8C53">
      <w:pPr>
        <w:rPr>
          <w:rFonts w:ascii="Times New Roman" w:hAnsi="Times New Roman" w:cs="Times New Roman"/>
          <w:sz w:val="24"/>
          <w:szCs w:val="24"/>
        </w:rPr>
      </w:pPr>
    </w:p>
    <w:p w14:paraId="2ADB5E0E">
      <w:pPr>
        <w:pStyle w:val="10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Izvještaj o zaduživanju na domaćem i stranom tržištu novca i kapitala,</w:t>
      </w:r>
    </w:p>
    <w:p w14:paraId="3CB3FCE7">
      <w:pPr>
        <w:pStyle w:val="10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Izvještaj o korištenju sredstava proračunske zalihe,</w:t>
      </w:r>
    </w:p>
    <w:p w14:paraId="7AA99287">
      <w:pPr>
        <w:pStyle w:val="10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Izvještaj o korištenju sredstava fondova Europske unije</w:t>
      </w:r>
    </w:p>
    <w:p w14:paraId="10A4B1CD">
      <w:pPr>
        <w:pStyle w:val="10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Izvještaj o danim jamstvima i izdacima po jamstvima,</w:t>
      </w:r>
    </w:p>
    <w:p w14:paraId="59E16D60">
      <w:pPr>
        <w:ind w:left="4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  Izvještaj o danim zajmovima i potraživanju po danim zajmovima</w:t>
      </w:r>
    </w:p>
    <w:p w14:paraId="42895F2F">
      <w:pPr>
        <w:pStyle w:val="10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OBRAZLOŽENJE OPĆEG DIJELA</w:t>
      </w:r>
    </w:p>
    <w:p w14:paraId="00D4002F">
      <w:pPr>
        <w:rPr>
          <w:rFonts w:ascii="Times New Roman" w:hAnsi="Times New Roman" w:cs="Times New Roman"/>
          <w:sz w:val="24"/>
          <w:szCs w:val="24"/>
        </w:rPr>
      </w:pPr>
    </w:p>
    <w:p w14:paraId="6C7A4D9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9"/>
        <w:tblW w:w="0" w:type="auto"/>
        <w:tblInd w:w="0" w:type="dxa"/>
        <w:tbl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6" w:space="0"/>
          <w:insideV w:val="single" w:color="FFFFFF" w:themeColor="background1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5"/>
        <w:gridCol w:w="3170"/>
        <w:gridCol w:w="1921"/>
        <w:gridCol w:w="1654"/>
        <w:gridCol w:w="2859"/>
      </w:tblGrid>
      <w:tr w14:paraId="5603B13C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12039" w:type="dxa"/>
            <w:gridSpan w:val="5"/>
            <w:tcBorders>
              <w:top w:val="single" w:color="FFFFFF" w:themeColor="background1" w:sz="8" w:space="0"/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2B00BA9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                    PRIHODI I PRIMICI</w:t>
            </w:r>
          </w:p>
        </w:tc>
      </w:tr>
      <w:tr w14:paraId="10BD7C9B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435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66B33E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Vrsta prihoda i primitka</w:t>
            </w:r>
          </w:p>
        </w:tc>
        <w:tc>
          <w:tcPr>
            <w:tcW w:w="3170" w:type="dxa"/>
            <w:shd w:val="clear" w:color="auto" w:fill="D2EAF0" w:themeFill="accent5" w:themeFillTint="3F"/>
          </w:tcPr>
          <w:p w14:paraId="056B46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Opis prihoda i primitka</w:t>
            </w:r>
          </w:p>
          <w:p w14:paraId="7F7D88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0DE4C0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Planirani iznos za 2025. godinu</w:t>
            </w:r>
          </w:p>
        </w:tc>
        <w:tc>
          <w:tcPr>
            <w:tcW w:w="1654" w:type="dxa"/>
            <w:shd w:val="clear" w:color="auto" w:fill="D2EAF0" w:themeFill="accent5" w:themeFillTint="3F"/>
          </w:tcPr>
          <w:p w14:paraId="1BB35C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Ostvarenje</w:t>
            </w:r>
          </w:p>
          <w:p w14:paraId="4AED18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I-XII /2025.</w:t>
            </w:r>
          </w:p>
        </w:tc>
        <w:tc>
          <w:tcPr>
            <w:tcW w:w="2859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04D8EB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Obrazloženje</w:t>
            </w:r>
          </w:p>
        </w:tc>
      </w:tr>
      <w:tr w14:paraId="1155A0A7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7" w:hRule="atLeast"/>
        </w:trPr>
        <w:tc>
          <w:tcPr>
            <w:tcW w:w="2435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50621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poreza na dohodak</w:t>
            </w:r>
          </w:p>
        </w:tc>
        <w:tc>
          <w:tcPr>
            <w:tcW w:w="3170" w:type="dxa"/>
            <w:shd w:val="clear" w:color="auto" w:fill="D2EAF0" w:themeFill="accent5" w:themeFillTint="3F"/>
          </w:tcPr>
          <w:p w14:paraId="5D7E3A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Prihod od poreza na dohodak umanjen za iznos koji se vraća obveznicima poreza po godišnjoj poreznoj prijavi </w:t>
            </w:r>
          </w:p>
        </w:tc>
        <w:tc>
          <w:tcPr>
            <w:tcW w:w="1921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3A26B9B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220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AF950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503.600,00</w:t>
            </w:r>
          </w:p>
          <w:p w14:paraId="4E8D0B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D2EAF0" w:themeFill="accent5" w:themeFillTint="3F"/>
          </w:tcPr>
          <w:p w14:paraId="4B43953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3483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1068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359.344,68</w:t>
            </w:r>
          </w:p>
        </w:tc>
        <w:tc>
          <w:tcPr>
            <w:tcW w:w="2859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548BC6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A220314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2435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1D00F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Porezi na imovinu (stalni i povremeni)</w:t>
            </w:r>
          </w:p>
        </w:tc>
        <w:tc>
          <w:tcPr>
            <w:tcW w:w="3170" w:type="dxa"/>
            <w:shd w:val="clear" w:color="auto" w:fill="D2EAF0" w:themeFill="accent5" w:themeFillTint="3F"/>
          </w:tcPr>
          <w:p w14:paraId="4821A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na promet nekretnina, porez na korištenje javnih površina</w:t>
            </w:r>
          </w:p>
        </w:tc>
        <w:tc>
          <w:tcPr>
            <w:tcW w:w="1921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4E390F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654" w:type="dxa"/>
            <w:shd w:val="clear" w:color="auto" w:fill="D2EAF0" w:themeFill="accent5" w:themeFillTint="3F"/>
          </w:tcPr>
          <w:p w14:paraId="7E2403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23.912,84</w:t>
            </w:r>
          </w:p>
        </w:tc>
        <w:tc>
          <w:tcPr>
            <w:tcW w:w="2859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46A95B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03E8AB53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2435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35DCF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Porezi na promet i korištenje dobara</w:t>
            </w:r>
          </w:p>
        </w:tc>
        <w:tc>
          <w:tcPr>
            <w:tcW w:w="3170" w:type="dxa"/>
            <w:shd w:val="clear" w:color="auto" w:fill="D2EAF0" w:themeFill="accent5" w:themeFillTint="3F"/>
          </w:tcPr>
          <w:p w14:paraId="7897E6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na potrošnju, porez na tvrtku</w:t>
            </w:r>
          </w:p>
        </w:tc>
        <w:tc>
          <w:tcPr>
            <w:tcW w:w="1921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766394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5.500,00</w:t>
            </w:r>
          </w:p>
        </w:tc>
        <w:tc>
          <w:tcPr>
            <w:tcW w:w="1654" w:type="dxa"/>
            <w:shd w:val="clear" w:color="auto" w:fill="D2EAF0" w:themeFill="accent5" w:themeFillTint="3F"/>
          </w:tcPr>
          <w:p w14:paraId="6551DF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3.417,38</w:t>
            </w:r>
          </w:p>
        </w:tc>
        <w:tc>
          <w:tcPr>
            <w:tcW w:w="2859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1104E5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D246B99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2435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10013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prihodi od poreza</w:t>
            </w:r>
          </w:p>
        </w:tc>
        <w:tc>
          <w:tcPr>
            <w:tcW w:w="3170" w:type="dxa"/>
            <w:shd w:val="clear" w:color="auto" w:fill="D2EAF0" w:themeFill="accent5" w:themeFillTint="3F"/>
          </w:tcPr>
          <w:p w14:paraId="1AB3B4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kojeg naplati Porezna uprava ovrhom ili drugim postupcima</w:t>
            </w:r>
          </w:p>
        </w:tc>
        <w:tc>
          <w:tcPr>
            <w:tcW w:w="1921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7B1415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654" w:type="dxa"/>
            <w:shd w:val="clear" w:color="auto" w:fill="D2EAF0" w:themeFill="accent5" w:themeFillTint="3F"/>
          </w:tcPr>
          <w:p w14:paraId="4C78E42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59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54D652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076814D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2435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3940A4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Pomoći iz inozemstva i od subjekata unutar općeg proračuna</w:t>
            </w:r>
          </w:p>
        </w:tc>
        <w:tc>
          <w:tcPr>
            <w:tcW w:w="3170" w:type="dxa"/>
            <w:shd w:val="clear" w:color="auto" w:fill="D2EAF0" w:themeFill="accent5" w:themeFillTint="3F"/>
          </w:tcPr>
          <w:p w14:paraId="7FE712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i kapitalne pomoći iz državnog i županijskog proračuna, pomoći od izvanproračunskih korisnika, pomoći temeljem prijenosa EU sredstava, fiskalno izravnanje</w:t>
            </w:r>
          </w:p>
        </w:tc>
        <w:tc>
          <w:tcPr>
            <w:tcW w:w="1921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5EC88AF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619.930,00</w:t>
            </w:r>
          </w:p>
        </w:tc>
        <w:tc>
          <w:tcPr>
            <w:tcW w:w="1654" w:type="dxa"/>
            <w:shd w:val="clear" w:color="auto" w:fill="D2EAF0" w:themeFill="accent5" w:themeFillTint="3F"/>
          </w:tcPr>
          <w:p w14:paraId="4E8775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637.538,60</w:t>
            </w:r>
          </w:p>
        </w:tc>
        <w:tc>
          <w:tcPr>
            <w:tcW w:w="2859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592DE3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6DCF7DA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2435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6D4B4F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financijske imovine</w:t>
            </w:r>
          </w:p>
        </w:tc>
        <w:tc>
          <w:tcPr>
            <w:tcW w:w="3170" w:type="dxa"/>
            <w:shd w:val="clear" w:color="auto" w:fill="D2EAF0" w:themeFill="accent5" w:themeFillTint="3F"/>
          </w:tcPr>
          <w:p w14:paraId="7D4403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kamata</w:t>
            </w:r>
          </w:p>
        </w:tc>
        <w:tc>
          <w:tcPr>
            <w:tcW w:w="1921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353D24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1654" w:type="dxa"/>
            <w:shd w:val="clear" w:color="auto" w:fill="D2EAF0" w:themeFill="accent5" w:themeFillTint="3F"/>
          </w:tcPr>
          <w:p w14:paraId="05A5D85E">
            <w:pPr>
              <w:tabs>
                <w:tab w:val="center" w:pos="719"/>
                <w:tab w:val="right" w:pos="1438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59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466A4B7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45A538AC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2435" w:type="dxa"/>
            <w:vMerge w:val="restart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161D6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nefinancijske imovine</w:t>
            </w:r>
          </w:p>
        </w:tc>
        <w:tc>
          <w:tcPr>
            <w:tcW w:w="3170" w:type="dxa"/>
            <w:shd w:val="clear" w:color="auto" w:fill="D2EAF0" w:themeFill="accent5" w:themeFillTint="3F"/>
          </w:tcPr>
          <w:p w14:paraId="00728E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45C977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D2EAF0" w:themeFill="accent5" w:themeFillTint="3F"/>
          </w:tcPr>
          <w:p w14:paraId="5D0072E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9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7543D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2A9F22D5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</w:trPr>
        <w:tc>
          <w:tcPr>
            <w:tcW w:w="2435" w:type="dxa"/>
            <w:vMerge w:val="continue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6E7BE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0" w:type="dxa"/>
            <w:shd w:val="clear" w:color="auto" w:fill="D2EAF0" w:themeFill="accent5" w:themeFillTint="3F"/>
          </w:tcPr>
          <w:p w14:paraId="22ECF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 od zakupa društvenih domova, prihod od groblja, prihod od vagarine, zakup poslovnih prostorija</w:t>
            </w:r>
          </w:p>
        </w:tc>
        <w:tc>
          <w:tcPr>
            <w:tcW w:w="1921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76EA58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14.760,00</w:t>
            </w:r>
          </w:p>
        </w:tc>
        <w:tc>
          <w:tcPr>
            <w:tcW w:w="1654" w:type="dxa"/>
            <w:shd w:val="clear" w:color="auto" w:fill="D2EAF0" w:themeFill="accent5" w:themeFillTint="3F"/>
          </w:tcPr>
          <w:p w14:paraId="176048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9.951,94</w:t>
            </w:r>
          </w:p>
        </w:tc>
        <w:tc>
          <w:tcPr>
            <w:tcW w:w="2859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63C8D4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Ostvarenje prihoda proračuna u najvećem dijelu odnosi se na porezne prihode (porez na dohodak), zatim porez na imovinu  (prihod od eksploatacije mineralnih </w:t>
            </w:r>
          </w:p>
        </w:tc>
      </w:tr>
      <w:tr w14:paraId="2757DFEE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435" w:type="dxa"/>
            <w:vMerge w:val="continue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36081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0" w:type="dxa"/>
            <w:shd w:val="clear" w:color="auto" w:fill="D2EAF0" w:themeFill="accent5" w:themeFillTint="3F"/>
          </w:tcPr>
          <w:p w14:paraId="709CB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 od eksploatacije mineralnih sirovina, spomenička renta</w:t>
            </w:r>
          </w:p>
        </w:tc>
        <w:tc>
          <w:tcPr>
            <w:tcW w:w="1921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477C9410">
            <w:pPr>
              <w:tabs>
                <w:tab w:val="left" w:pos="390"/>
                <w:tab w:val="right" w:pos="170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370.690,00</w:t>
            </w:r>
          </w:p>
        </w:tc>
        <w:tc>
          <w:tcPr>
            <w:tcW w:w="1654" w:type="dxa"/>
            <w:shd w:val="clear" w:color="auto" w:fill="D2EAF0" w:themeFill="accent5" w:themeFillTint="3F"/>
          </w:tcPr>
          <w:p w14:paraId="1148F75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277.855,76</w:t>
            </w:r>
          </w:p>
        </w:tc>
        <w:tc>
          <w:tcPr>
            <w:tcW w:w="2859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37468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sirovina), pomoći fiskalnog izravnanja, šumskog doprinosa i</w:t>
            </w:r>
          </w:p>
        </w:tc>
      </w:tr>
      <w:tr w14:paraId="4DE8D18D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2435" w:type="dxa"/>
            <w:vMerge w:val="continue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713664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0" w:type="dxa"/>
            <w:shd w:val="clear" w:color="auto" w:fill="D2EAF0" w:themeFill="accent5" w:themeFillTint="3F"/>
          </w:tcPr>
          <w:p w14:paraId="4EBE82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7DA21E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D2EAF0" w:themeFill="accent5" w:themeFillTint="3F"/>
          </w:tcPr>
          <w:p w14:paraId="4F66DA18">
            <w:pPr>
              <w:tabs>
                <w:tab w:val="center" w:pos="719"/>
                <w:tab w:val="right" w:pos="1438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9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34113D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komunalne naknade.</w:t>
            </w:r>
          </w:p>
          <w:p w14:paraId="37C9A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poreza na dohodak nisu ostvareni u planiranom iznosu zbog godišnjeg  povrata poreza.</w:t>
            </w:r>
          </w:p>
        </w:tc>
      </w:tr>
      <w:tr w14:paraId="08E58414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</w:trPr>
        <w:tc>
          <w:tcPr>
            <w:tcW w:w="2435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77BBF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Upravne i administrativne pristojbe</w:t>
            </w:r>
          </w:p>
        </w:tc>
        <w:tc>
          <w:tcPr>
            <w:tcW w:w="3170" w:type="dxa"/>
            <w:shd w:val="clear" w:color="auto" w:fill="D2EAF0" w:themeFill="accent5" w:themeFillTint="3F"/>
          </w:tcPr>
          <w:p w14:paraId="004F2D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 od prodaje državnih biljega i druge propisane pristojbe i naknade</w:t>
            </w:r>
          </w:p>
        </w:tc>
        <w:tc>
          <w:tcPr>
            <w:tcW w:w="1921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7896A65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1.500,0,00</w:t>
            </w:r>
          </w:p>
        </w:tc>
        <w:tc>
          <w:tcPr>
            <w:tcW w:w="1654" w:type="dxa"/>
            <w:shd w:val="clear" w:color="auto" w:fill="D2EAF0" w:themeFill="accent5" w:themeFillTint="3F"/>
          </w:tcPr>
          <w:p w14:paraId="46787F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59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17CF5B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Ostvarenje od planiranih prihoda pomoći odnosi se na EU pomoći i </w:t>
            </w:r>
          </w:p>
        </w:tc>
      </w:tr>
      <w:tr w14:paraId="17AD94C3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2435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6808B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po posebnim propisima</w:t>
            </w:r>
          </w:p>
        </w:tc>
        <w:tc>
          <w:tcPr>
            <w:tcW w:w="3170" w:type="dxa"/>
            <w:shd w:val="clear" w:color="auto" w:fill="D2EAF0" w:themeFill="accent5" w:themeFillTint="3F"/>
          </w:tcPr>
          <w:p w14:paraId="30A685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Šumski doprinos, prenamjena zemljišta i ostali prihodi</w:t>
            </w:r>
          </w:p>
        </w:tc>
        <w:tc>
          <w:tcPr>
            <w:tcW w:w="1921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7F4A9D6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78.500,00</w:t>
            </w:r>
          </w:p>
        </w:tc>
        <w:tc>
          <w:tcPr>
            <w:tcW w:w="1654" w:type="dxa"/>
            <w:shd w:val="clear" w:color="auto" w:fill="D2EAF0" w:themeFill="accent5" w:themeFillTint="3F"/>
          </w:tcPr>
          <w:p w14:paraId="6C868C2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17.801,66</w:t>
            </w:r>
          </w:p>
        </w:tc>
        <w:tc>
          <w:tcPr>
            <w:tcW w:w="2859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00BAC1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ostale tekuće i kapitalne pomoći iz drugih proračuna za kapitalne investicije, te program Zaželi.</w:t>
            </w:r>
          </w:p>
        </w:tc>
      </w:tr>
      <w:tr w14:paraId="3741790B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2435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5059F6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0" w:type="dxa"/>
            <w:shd w:val="clear" w:color="auto" w:fill="D2EAF0" w:themeFill="accent5" w:themeFillTint="3F"/>
          </w:tcPr>
          <w:p w14:paraId="26506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prihodi-participacija i ostali nespomenuti prihodi</w:t>
            </w:r>
          </w:p>
        </w:tc>
        <w:tc>
          <w:tcPr>
            <w:tcW w:w="1921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76147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103.000,00</w:t>
            </w:r>
          </w:p>
        </w:tc>
        <w:tc>
          <w:tcPr>
            <w:tcW w:w="1654" w:type="dxa"/>
            <w:shd w:val="clear" w:color="auto" w:fill="D2EAF0" w:themeFill="accent5" w:themeFillTint="3F"/>
          </w:tcPr>
          <w:p w14:paraId="09F4ED2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24.995,60</w:t>
            </w:r>
          </w:p>
        </w:tc>
        <w:tc>
          <w:tcPr>
            <w:tcW w:w="2859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143B05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23D1CAA3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2435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7930A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 doprinosi i naknade</w:t>
            </w:r>
          </w:p>
        </w:tc>
        <w:tc>
          <w:tcPr>
            <w:tcW w:w="3170" w:type="dxa"/>
            <w:shd w:val="clear" w:color="auto" w:fill="D2EAF0" w:themeFill="accent5" w:themeFillTint="3F"/>
          </w:tcPr>
          <w:p w14:paraId="5AAF9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 doprinosi i komunalna naknada</w:t>
            </w:r>
          </w:p>
        </w:tc>
        <w:tc>
          <w:tcPr>
            <w:tcW w:w="1921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1E67EF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63.000,00</w:t>
            </w:r>
          </w:p>
        </w:tc>
        <w:tc>
          <w:tcPr>
            <w:tcW w:w="1654" w:type="dxa"/>
            <w:shd w:val="clear" w:color="auto" w:fill="D2EAF0" w:themeFill="accent5" w:themeFillTint="3F"/>
          </w:tcPr>
          <w:p w14:paraId="14619D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41.621,96</w:t>
            </w:r>
          </w:p>
        </w:tc>
        <w:tc>
          <w:tcPr>
            <w:tcW w:w="2859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7FD4DA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1707971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2435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4257A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prodaje nefinancijske imovine</w:t>
            </w:r>
          </w:p>
        </w:tc>
        <w:tc>
          <w:tcPr>
            <w:tcW w:w="3170" w:type="dxa"/>
            <w:shd w:val="clear" w:color="auto" w:fill="D2EAF0" w:themeFill="accent5" w:themeFillTint="3F"/>
          </w:tcPr>
          <w:p w14:paraId="36BB5E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Prodaja nekretnina (zemljišta, šume, objekti, oprema)</w:t>
            </w:r>
          </w:p>
        </w:tc>
        <w:tc>
          <w:tcPr>
            <w:tcW w:w="1921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4D1B4B1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37.500,00</w:t>
            </w:r>
          </w:p>
        </w:tc>
        <w:tc>
          <w:tcPr>
            <w:tcW w:w="1654" w:type="dxa"/>
            <w:shd w:val="clear" w:color="auto" w:fill="D2EAF0" w:themeFill="accent5" w:themeFillTint="3F"/>
          </w:tcPr>
          <w:p w14:paraId="2B1D622A">
            <w:pPr>
              <w:tabs>
                <w:tab w:val="center" w:pos="719"/>
                <w:tab w:val="right" w:pos="1438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18.700,00</w:t>
            </w:r>
          </w:p>
        </w:tc>
        <w:tc>
          <w:tcPr>
            <w:tcW w:w="2859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214BB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1056C62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2435" w:type="dxa"/>
            <w:tcBorders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02EFD9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SVEUKUPNO PRIHODI:</w:t>
            </w:r>
          </w:p>
        </w:tc>
        <w:tc>
          <w:tcPr>
            <w:tcW w:w="3170" w:type="dxa"/>
            <w:shd w:val="clear" w:color="auto" w:fill="D2EAF0" w:themeFill="accent5" w:themeFillTint="3F"/>
          </w:tcPr>
          <w:p w14:paraId="4670B6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6D0C3CB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1.833.280,00</w:t>
            </w:r>
          </w:p>
        </w:tc>
        <w:tc>
          <w:tcPr>
            <w:tcW w:w="1654" w:type="dxa"/>
            <w:shd w:val="clear" w:color="auto" w:fill="D2EAF0" w:themeFill="accent5" w:themeFillTint="3F"/>
          </w:tcPr>
          <w:p w14:paraId="09833C2A">
            <w:pPr>
              <w:tabs>
                <w:tab w:val="right" w:pos="1438"/>
              </w:tabs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1.415.140,42</w:t>
            </w:r>
          </w:p>
        </w:tc>
        <w:tc>
          <w:tcPr>
            <w:tcW w:w="2859" w:type="dxa"/>
            <w:tcBorders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0AA7C3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81BD0FB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98"/>
        <w:gridCol w:w="2799"/>
        <w:gridCol w:w="2799"/>
        <w:gridCol w:w="4924"/>
      </w:tblGrid>
      <w:tr w14:paraId="663BA8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8" w:type="dxa"/>
            <w:tcBorders>
              <w:bottom w:val="single" w:color="auto" w:sz="4" w:space="0"/>
              <w:right w:val="nil"/>
            </w:tcBorders>
          </w:tcPr>
          <w:p w14:paraId="0C5E0AD1">
            <w:pPr>
              <w:jc w:val="right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799" w:type="dxa"/>
            <w:tcBorders>
              <w:left w:val="nil"/>
              <w:bottom w:val="single" w:color="auto" w:sz="4" w:space="0"/>
              <w:right w:val="nil"/>
            </w:tcBorders>
          </w:tcPr>
          <w:p w14:paraId="0ED1B318">
            <w:pPr>
              <w:jc w:val="right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RASHODI</w:t>
            </w:r>
          </w:p>
        </w:tc>
        <w:tc>
          <w:tcPr>
            <w:tcW w:w="2799" w:type="dxa"/>
            <w:tcBorders>
              <w:left w:val="nil"/>
              <w:bottom w:val="single" w:color="auto" w:sz="4" w:space="0"/>
              <w:right w:val="nil"/>
            </w:tcBorders>
          </w:tcPr>
          <w:p w14:paraId="1DD057E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I  IZDACI</w:t>
            </w:r>
          </w:p>
        </w:tc>
        <w:tc>
          <w:tcPr>
            <w:tcW w:w="4924" w:type="dxa"/>
            <w:tcBorders>
              <w:left w:val="nil"/>
              <w:bottom w:val="single" w:color="auto" w:sz="4" w:space="0"/>
            </w:tcBorders>
          </w:tcPr>
          <w:p w14:paraId="3B73D83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14:paraId="5BF9F6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8" w:type="dxa"/>
            <w:tcBorders>
              <w:top w:val="single" w:color="auto" w:sz="4" w:space="0"/>
            </w:tcBorders>
          </w:tcPr>
          <w:p w14:paraId="19B658C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Vrsta rashoda i izdatka</w:t>
            </w:r>
          </w:p>
        </w:tc>
        <w:tc>
          <w:tcPr>
            <w:tcW w:w="2799" w:type="dxa"/>
            <w:tcBorders>
              <w:top w:val="single" w:color="auto" w:sz="4" w:space="0"/>
            </w:tcBorders>
          </w:tcPr>
          <w:p w14:paraId="037829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Plan 2025.</w:t>
            </w:r>
          </w:p>
        </w:tc>
        <w:tc>
          <w:tcPr>
            <w:tcW w:w="2799" w:type="dxa"/>
            <w:tcBorders>
              <w:top w:val="single" w:color="auto" w:sz="4" w:space="0"/>
            </w:tcBorders>
          </w:tcPr>
          <w:p w14:paraId="33D911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Ostvarenje 2025.</w:t>
            </w:r>
          </w:p>
        </w:tc>
        <w:tc>
          <w:tcPr>
            <w:tcW w:w="4924" w:type="dxa"/>
            <w:tcBorders>
              <w:top w:val="single" w:color="auto" w:sz="4" w:space="0"/>
            </w:tcBorders>
          </w:tcPr>
          <w:p w14:paraId="6D7FD42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Obrazloženje</w:t>
            </w:r>
          </w:p>
        </w:tc>
      </w:tr>
      <w:tr w14:paraId="04F5A5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8" w:type="dxa"/>
          </w:tcPr>
          <w:p w14:paraId="1F60C7C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Rashodi za zaposlene</w:t>
            </w:r>
          </w:p>
        </w:tc>
        <w:tc>
          <w:tcPr>
            <w:tcW w:w="2799" w:type="dxa"/>
          </w:tcPr>
          <w:p w14:paraId="5EDE126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500.000,00</w:t>
            </w:r>
          </w:p>
        </w:tc>
        <w:tc>
          <w:tcPr>
            <w:tcW w:w="2799" w:type="dxa"/>
          </w:tcPr>
          <w:p w14:paraId="08761C0C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467.702,86</w:t>
            </w:r>
          </w:p>
        </w:tc>
        <w:tc>
          <w:tcPr>
            <w:tcW w:w="4924" w:type="dxa"/>
          </w:tcPr>
          <w:p w14:paraId="50B32DE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Rashodi za zaposlene odnose se na plaće, doprinose i poreze za zaposlene u Jedinstvenom upravnom odjelu (uprava i komunalni pogon), zaposlene u dječjem vrtiću, te zaposlene u programu Zaželi. Povećanje rashoda za zaposlene u odnosu na 2024. godinu posljedica je usklađenja obračuna plaća sa donesenim odlukama općinskog načelnika o povećanju osnovice plaće i odluka općinskog vijeća o povećanju koeficijenata za službenike i namještenike JUO, te zaposlenih u dječjem vrtiću, kao i isplate naknade plaće općinskom načelniku nakon isteka mandata nakon provedenih lokalnih izbora.</w:t>
            </w:r>
          </w:p>
        </w:tc>
      </w:tr>
      <w:tr w14:paraId="076B8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8" w:type="dxa"/>
          </w:tcPr>
          <w:p w14:paraId="5EDFE4B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Materijalni rashodi </w:t>
            </w:r>
          </w:p>
        </w:tc>
        <w:tc>
          <w:tcPr>
            <w:tcW w:w="2799" w:type="dxa"/>
          </w:tcPr>
          <w:p w14:paraId="4E56D291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695.280,00</w:t>
            </w:r>
          </w:p>
        </w:tc>
        <w:tc>
          <w:tcPr>
            <w:tcW w:w="2799" w:type="dxa"/>
          </w:tcPr>
          <w:p w14:paraId="73D8EF72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518.310,43</w:t>
            </w:r>
          </w:p>
        </w:tc>
        <w:tc>
          <w:tcPr>
            <w:tcW w:w="4924" w:type="dxa"/>
          </w:tcPr>
          <w:p w14:paraId="5A0831C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Materijalni troškovi odnose se na rashode za materijalne troškove, energiju, tekuće i investicijsko održavanje, sitni inventar, komunalne, veterinarske, intelektualne i ostale usluge, kao i na troškove održavanja lokalnih izbora. Materijalni rashodi u odnosu na 2024. godinu u najvećem dijelu nastali su zbog povećanja troškova materijala i usluga kao posljedica povećanja cijena na tržištu, te troškova održavanja lokalnih izbora</w:t>
            </w:r>
          </w:p>
        </w:tc>
      </w:tr>
      <w:tr w14:paraId="01D7D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8" w:type="dxa"/>
          </w:tcPr>
          <w:p w14:paraId="426735D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Financijski rashodi</w:t>
            </w:r>
          </w:p>
        </w:tc>
        <w:tc>
          <w:tcPr>
            <w:tcW w:w="2799" w:type="dxa"/>
          </w:tcPr>
          <w:p w14:paraId="0C89F611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22.100,00</w:t>
            </w:r>
          </w:p>
        </w:tc>
        <w:tc>
          <w:tcPr>
            <w:tcW w:w="2799" w:type="dxa"/>
          </w:tcPr>
          <w:p w14:paraId="23B1A60C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16.890,85</w:t>
            </w:r>
          </w:p>
        </w:tc>
        <w:tc>
          <w:tcPr>
            <w:tcW w:w="4924" w:type="dxa"/>
          </w:tcPr>
          <w:p w14:paraId="1F14F3C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Financijski rashodi odnose se na kamate po kreditu za izgradnju dječjeg vrtića, bankarske usluge, usluge platnog prometa i ostale izdatke. Povećanje financijskih rashoda u odnosu na 2024. godinu posljedica je podmirenja vodne naknade koja nije bila plaćena ranijih godina.</w:t>
            </w:r>
          </w:p>
        </w:tc>
      </w:tr>
      <w:tr w14:paraId="67155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8" w:type="dxa"/>
          </w:tcPr>
          <w:p w14:paraId="51854E3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Subvencije</w:t>
            </w:r>
          </w:p>
        </w:tc>
        <w:tc>
          <w:tcPr>
            <w:tcW w:w="2799" w:type="dxa"/>
          </w:tcPr>
          <w:p w14:paraId="02173C0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36.300,00</w:t>
            </w:r>
          </w:p>
        </w:tc>
        <w:tc>
          <w:tcPr>
            <w:tcW w:w="2799" w:type="dxa"/>
          </w:tcPr>
          <w:p w14:paraId="5066960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33.913,79</w:t>
            </w:r>
          </w:p>
        </w:tc>
        <w:tc>
          <w:tcPr>
            <w:tcW w:w="4924" w:type="dxa"/>
          </w:tcPr>
          <w:p w14:paraId="754EB22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Subvencije poljoprivrednicima za kupnju poljoprivredne opreme, te osjemenjivanje goveda i krmaća</w:t>
            </w:r>
          </w:p>
        </w:tc>
      </w:tr>
      <w:tr w14:paraId="098A5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8" w:type="dxa"/>
          </w:tcPr>
          <w:p w14:paraId="382459B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Pomoći</w:t>
            </w:r>
          </w:p>
        </w:tc>
        <w:tc>
          <w:tcPr>
            <w:tcW w:w="2799" w:type="dxa"/>
          </w:tcPr>
          <w:p w14:paraId="6593553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20.300,00</w:t>
            </w:r>
          </w:p>
        </w:tc>
        <w:tc>
          <w:tcPr>
            <w:tcW w:w="2799" w:type="dxa"/>
          </w:tcPr>
          <w:p w14:paraId="6039099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21.967,14</w:t>
            </w:r>
          </w:p>
        </w:tc>
        <w:tc>
          <w:tcPr>
            <w:tcW w:w="4924" w:type="dxa"/>
          </w:tcPr>
          <w:p w14:paraId="2E8D9B4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Pomoći za Javnu vatrogasnu postrojbu i obavljanje poslova poljoprivrednog redara</w:t>
            </w:r>
          </w:p>
        </w:tc>
      </w:tr>
      <w:tr w14:paraId="6E856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8" w:type="dxa"/>
          </w:tcPr>
          <w:p w14:paraId="1AF062C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Naknade građanima i kućanstvima</w:t>
            </w:r>
          </w:p>
        </w:tc>
        <w:tc>
          <w:tcPr>
            <w:tcW w:w="2799" w:type="dxa"/>
          </w:tcPr>
          <w:p w14:paraId="130B127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166.000,00</w:t>
            </w:r>
          </w:p>
        </w:tc>
        <w:tc>
          <w:tcPr>
            <w:tcW w:w="2799" w:type="dxa"/>
          </w:tcPr>
          <w:p w14:paraId="2AD0175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121.477,84</w:t>
            </w:r>
          </w:p>
        </w:tc>
        <w:tc>
          <w:tcPr>
            <w:tcW w:w="4924" w:type="dxa"/>
          </w:tcPr>
          <w:p w14:paraId="441B83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Naknade građanima i kućanstvima prema Programima javnih potreba u socijalnoj skrbi, školstvu, predškolskom odgoju. Ove naknade povišene se u odnosu na 2024. godinu zbog isplate uskrsnica starijim osobama koje ranijih godina nisu bile isplaćivane.</w:t>
            </w:r>
          </w:p>
        </w:tc>
      </w:tr>
      <w:tr w14:paraId="7CA8C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8" w:type="dxa"/>
          </w:tcPr>
          <w:p w14:paraId="0FCE905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Kapitalne i tekuće donacije</w:t>
            </w:r>
          </w:p>
        </w:tc>
        <w:tc>
          <w:tcPr>
            <w:tcW w:w="2799" w:type="dxa"/>
          </w:tcPr>
          <w:p w14:paraId="028466D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155.200,00</w:t>
            </w:r>
          </w:p>
        </w:tc>
        <w:tc>
          <w:tcPr>
            <w:tcW w:w="2799" w:type="dxa"/>
          </w:tcPr>
          <w:p w14:paraId="2C6A555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113.117,49</w:t>
            </w:r>
          </w:p>
        </w:tc>
        <w:tc>
          <w:tcPr>
            <w:tcW w:w="4924" w:type="dxa"/>
          </w:tcPr>
          <w:p w14:paraId="40684EE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Rashodi su ostvareni za tekuće donacije udrugama, klubovima i društvima, prema Programima javnih potreba, te temeljem ostalih odluka i obaveza</w:t>
            </w:r>
          </w:p>
        </w:tc>
      </w:tr>
      <w:tr w14:paraId="04B96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8" w:type="dxa"/>
          </w:tcPr>
          <w:p w14:paraId="717B93C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Rashodi za nabavu imovine</w:t>
            </w:r>
          </w:p>
        </w:tc>
        <w:tc>
          <w:tcPr>
            <w:tcW w:w="2799" w:type="dxa"/>
          </w:tcPr>
          <w:p w14:paraId="2CE1C6A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591.500,00</w:t>
            </w:r>
          </w:p>
        </w:tc>
        <w:tc>
          <w:tcPr>
            <w:tcW w:w="2799" w:type="dxa"/>
          </w:tcPr>
          <w:p w14:paraId="6C8F1B3B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400.445,92</w:t>
            </w:r>
          </w:p>
        </w:tc>
        <w:tc>
          <w:tcPr>
            <w:tcW w:w="4924" w:type="dxa"/>
          </w:tcPr>
          <w:p w14:paraId="035A632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Rashodi su ostvareni za kapitalne investicije koje se detaljnije opisuju kroz obrazloženje Posebnog dijela proračuna. Rashodi su smanjeni u odnosu na 2024. godinu jer se radi uglavnom o završetku kapitalnih ulaganja iz prijašnjih godina po okončanim situacijama</w:t>
            </w:r>
          </w:p>
          <w:p w14:paraId="37103B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14:paraId="32DD9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8" w:type="dxa"/>
          </w:tcPr>
          <w:p w14:paraId="3A9D90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21FE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72B827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SVEUKUPNO RASHODI</w:t>
            </w:r>
          </w:p>
        </w:tc>
        <w:tc>
          <w:tcPr>
            <w:tcW w:w="2799" w:type="dxa"/>
          </w:tcPr>
          <w:p w14:paraId="3207DB7C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A68B7E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FC2D422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B38DBF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2.186.680,00</w:t>
            </w:r>
          </w:p>
        </w:tc>
        <w:tc>
          <w:tcPr>
            <w:tcW w:w="2799" w:type="dxa"/>
          </w:tcPr>
          <w:p w14:paraId="78D9F752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A2F679C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DE392D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F5B1FD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1.693.826,32</w:t>
            </w:r>
          </w:p>
        </w:tc>
        <w:tc>
          <w:tcPr>
            <w:tcW w:w="4924" w:type="dxa"/>
          </w:tcPr>
          <w:p w14:paraId="6340C57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E5D8A9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10E47E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AC23AF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DBEE3F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4BCAA1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9577D8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50B057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63C95C4">
      <w:pPr>
        <w:rPr>
          <w:rFonts w:ascii="Times New Roman" w:hAnsi="Times New Roman" w:cs="Times New Roman"/>
          <w:b/>
          <w:sz w:val="32"/>
          <w:szCs w:val="32"/>
        </w:rPr>
      </w:pPr>
    </w:p>
    <w:p w14:paraId="3E0A040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III. OBRAZLOžENJE POSEBNOG DIJELA</w:t>
      </w:r>
    </w:p>
    <w:p w14:paraId="5BCE62BD">
      <w:pPr>
        <w:rPr>
          <w:rFonts w:ascii="Times New Roman" w:hAnsi="Times New Roman" w:cs="Times New Roman"/>
          <w:bCs/>
          <w:sz w:val="28"/>
          <w:szCs w:val="28"/>
        </w:rPr>
      </w:pPr>
    </w:p>
    <w:p w14:paraId="2AC7C2B8">
      <w:pPr>
        <w:rPr>
          <w:rFonts w:ascii="Times New Roman" w:hAnsi="Times New Roman" w:cs="Times New Roman"/>
          <w:bCs/>
          <w:sz w:val="28"/>
          <w:szCs w:val="28"/>
        </w:rPr>
      </w:pPr>
    </w:p>
    <w:p w14:paraId="28B26A1F">
      <w:pPr>
        <w:rPr>
          <w:rFonts w:ascii="Times New Roman" w:hAnsi="Times New Roman" w:cs="Times New Roman"/>
          <w:b/>
          <w:sz w:val="32"/>
          <w:szCs w:val="32"/>
        </w:rPr>
      </w:pPr>
    </w:p>
    <w:p w14:paraId="55039E08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9"/>
        <w:tblpPr w:leftFromText="180" w:rightFromText="180" w:vertAnchor="text" w:tblpY="1"/>
        <w:tblOverlap w:val="never"/>
        <w:tblW w:w="11165" w:type="dxa"/>
        <w:tblInd w:w="0" w:type="dxa"/>
        <w:tbl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6" w:space="0"/>
          <w:insideV w:val="single" w:color="FFFFFF" w:themeColor="background1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65"/>
      </w:tblGrid>
      <w:tr w14:paraId="5562FA35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11165" w:type="dxa"/>
            <w:tcBorders>
              <w:left w:val="single" w:color="FFFFFF" w:themeColor="background1" w:sz="8" w:space="0"/>
              <w:bottom w:val="nil"/>
              <w:right w:val="single" w:color="FFFFFF" w:themeColor="background1" w:sz="24" w:space="0"/>
              <w:insideH w:val="nil"/>
              <w:insideV w:val="single" w:sz="24" w:space="0"/>
            </w:tcBorders>
            <w:shd w:val="clear" w:color="auto" w:fill="4BACC6" w:themeFill="accent5"/>
          </w:tcPr>
          <w:p w14:paraId="6803D8A0"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32"/>
                <w:szCs w:val="32"/>
              </w:rPr>
              <w:t>RASHODI I IZDACI</w:t>
            </w:r>
          </w:p>
          <w:p w14:paraId="1CB831BD">
            <w:pPr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FFFFFF" w:themeColor="background1"/>
                <w:sz w:val="32"/>
                <w:szCs w:val="32"/>
                <w14:textFill>
                  <w14:solidFill>
                    <w14:schemeClr w14:val="bg1"/>
                  </w14:solidFill>
                </w14:textFill>
              </w:rPr>
            </w:pPr>
          </w:p>
          <w:p w14:paraId="7A8C1BAE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  <w:t>PROGRAM 1001:    PREDSTAVNIČKA I IZVRŠNA VLAST</w:t>
            </w:r>
          </w:p>
          <w:p w14:paraId="234020CA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</w:p>
          <w:p w14:paraId="64B7ADFA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Ostvareni ciljevi programa: Do dana odluke Vlade RH o raspisivanju lokalnih</w:t>
            </w:r>
          </w:p>
          <w:p w14:paraId="4C907BBF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izbora održane su četiri sjednice Općinskog vijeća. Nakon provedenih lokalnih izbora</w:t>
            </w:r>
          </w:p>
          <w:p w14:paraId="62F803A6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dana 13. lipnja 2025. godine održana  je prva konstituirajuća sjednica Općinskog vijeća, a </w:t>
            </w:r>
          </w:p>
          <w:p w14:paraId="35FF6A35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do kraja godine održane su još tri redovne sjednice  na kojima su donesene odluke i</w:t>
            </w:r>
          </w:p>
          <w:p w14:paraId="07A09CA1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zaključci iz djelokruga Općinskog vijeća, te Proračun za 2026. godinu.</w:t>
            </w:r>
          </w:p>
          <w:p w14:paraId="56FF15A8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Redovito godišnje financiranje političkih stranaka i nezavisnih članova Općinskog </w:t>
            </w:r>
          </w:p>
          <w:p w14:paraId="0D34BE70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izvršeno je sukladno Odluci o financiranju rada političkih stranaka i članova</w:t>
            </w:r>
          </w:p>
          <w:p w14:paraId="32C0A695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Općinskog vijeća izabranih sa liste grupe birača za 2025. godinu.</w:t>
            </w:r>
          </w:p>
          <w:p w14:paraId="675502F9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</w:p>
          <w:p w14:paraId="5669085C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Plan za 2025.:17.500,00</w:t>
            </w:r>
          </w:p>
          <w:p w14:paraId="06D285C8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Ostvareno do 31.12.2025. 10.846,64</w:t>
            </w:r>
          </w:p>
        </w:tc>
      </w:tr>
      <w:tr w14:paraId="700D0646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11165" w:type="dxa"/>
            <w:tcBorders>
              <w:left w:val="single" w:color="FFFFFF" w:themeColor="background1" w:sz="8" w:space="0"/>
              <w:bottom w:val="nil"/>
              <w:right w:val="single" w:color="FFFFFF" w:themeColor="background1" w:sz="24" w:space="0"/>
              <w:insideH w:val="nil"/>
              <w:insideV w:val="single" w:sz="24" w:space="0"/>
            </w:tcBorders>
            <w:shd w:val="clear" w:color="auto" w:fill="4BACC6" w:themeFill="accent5"/>
          </w:tcPr>
          <w:p w14:paraId="72A9F531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</w:p>
          <w:p w14:paraId="256C89C3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  <w:t>PROGRAM 2001:      OPĆI, UPRAVNI I FINANCIJSKO-RAČUNOVODSTVENI POSLOVI</w:t>
            </w:r>
          </w:p>
          <w:p w14:paraId="6439CD5D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 Ostvareni ciljevi programa: Službenici Jedinstvenog upravnog</w:t>
            </w:r>
          </w:p>
          <w:p w14:paraId="7074CA5F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 odjela izvršavali su svoje poslove propisane Pravilnikom o unutarnjem redu</w:t>
            </w:r>
          </w:p>
          <w:p w14:paraId="17DEDE24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 Općine Podravske Sesvete. Financijski izvještaji Proračuna predani su  nadležnim</w:t>
            </w:r>
          </w:p>
          <w:p w14:paraId="3085FB52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 institucijama. Rashodi su izvršeni u okvirima Proračuna Općine Podravske Sesvete</w:t>
            </w:r>
          </w:p>
          <w:p w14:paraId="3404EA9F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 za 2025. godinu. Najznačajniji rashodi odnose se na plaće, poreze i doprinose </w:t>
            </w:r>
          </w:p>
          <w:p w14:paraId="46FAFC99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 za zaposlene u Jedinstvenom upravnom odjelu, na troškove energije (struja i plin</w:t>
            </w:r>
          </w:p>
          <w:p w14:paraId="43646CC4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 poslovnu zgradu, društvene domove, javnu rasvjetu), tekuće i investicijsko</w:t>
            </w:r>
          </w:p>
          <w:p w14:paraId="5C766944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 xml:space="preserve">                                    </w:t>
            </w:r>
          </w:p>
          <w:p w14:paraId="437F6620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</w:p>
          <w:p w14:paraId="34696447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 xml:space="preserve">                                    </w:t>
            </w:r>
          </w:p>
          <w:p w14:paraId="16E12E12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održavanje, izradu projektne i druge stručne dokumentacije, kulturne i sportske</w:t>
            </w:r>
          </w:p>
          <w:p w14:paraId="7ED69980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manifestacije, te otplatu kredita za izgradnju dječjeg vrtića.</w:t>
            </w:r>
          </w:p>
          <w:p w14:paraId="6333F0B1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  <w:p w14:paraId="511B5D22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Plan za 2025.: 640.700,00</w:t>
            </w:r>
          </w:p>
          <w:p w14:paraId="78F523A8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Ostvareno do 31. prosinca 2025. 541.815,81</w:t>
            </w:r>
          </w:p>
          <w:p w14:paraId="44A7AFB8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</w:p>
        </w:tc>
      </w:tr>
      <w:tr w14:paraId="075942D8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11165" w:type="dxa"/>
            <w:tcBorders>
              <w:left w:val="single" w:color="FFFFFF" w:themeColor="background1" w:sz="8" w:space="0"/>
              <w:bottom w:val="nil"/>
              <w:right w:val="single" w:color="FFFFFF" w:themeColor="background1" w:sz="24" w:space="0"/>
              <w:insideH w:val="nil"/>
              <w:insideV w:val="single" w:sz="24" w:space="0"/>
            </w:tcBorders>
            <w:shd w:val="clear" w:color="auto" w:fill="4BACC6" w:themeFill="accent5"/>
          </w:tcPr>
          <w:p w14:paraId="18A5BF91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  <w:t>PROGRAM 2101: RURALNI RAZVOJ KROZ IZGRADNJU OBJEKATA, KOMUNALNE I</w:t>
            </w:r>
          </w:p>
          <w:p w14:paraId="0F473089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  <w:t xml:space="preserve">                                PROMETNE INFRASTRUKTURE, ZAŠTITA OKOLIŠA I DRUGA KAPITALNA</w:t>
            </w:r>
          </w:p>
          <w:p w14:paraId="50BE08CC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  <w:t xml:space="preserve">                                ULAGANJA</w:t>
            </w:r>
          </w:p>
          <w:p w14:paraId="378E84CD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  <w:t xml:space="preserve">                                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Ostvareni ciljevi programa: Tijekom 2025. godine  izvršena su ulaganja za slijedeće</w:t>
            </w:r>
          </w:p>
          <w:p w14:paraId="569F734E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kapitalne projekte:</w:t>
            </w:r>
          </w:p>
          <w:p w14:paraId="2BFDAFCB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 xml:space="preserve">                                 </w:t>
            </w: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kupnja stambene kuće u ulici Eugena Tomića, ispred groblja 5.500,00</w:t>
            </w:r>
          </w:p>
          <w:p w14:paraId="6FB156F2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- računalna oprema i uredski namještaj 5.664,39</w:t>
            </w:r>
          </w:p>
          <w:p w14:paraId="6B6A399E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- izrada Izmjena i dopuna prostornog plana 15.000,00</w:t>
            </w:r>
          </w:p>
          <w:p w14:paraId="4A826FBE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- završetak izgradnje montažnih tribina 86.731,96</w:t>
            </w:r>
          </w:p>
          <w:p w14:paraId="36E1EA52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- projektna i ostala dokumentacija za izgradnju Vatrogasnog doma  11.293,75</w:t>
            </w:r>
          </w:p>
          <w:p w14:paraId="1990421C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- završetak adaptacije stanova u poslovnoj zgradi 27.997,25</w:t>
            </w:r>
          </w:p>
          <w:p w14:paraId="7DE4CE5E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 xml:space="preserve">                                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- završetak ulaganja u izgradnju parkirališta i dječjeg igrališta 5.492,25</w:t>
            </w:r>
          </w:p>
          <w:p w14:paraId="2CA231B8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- završetak izgradnje nogostupa u Dravskoj ulici 156.083,62</w:t>
            </w:r>
          </w:p>
          <w:p w14:paraId="420280B2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- završetak revitalizacije Eko parka mira 54.648,19</w:t>
            </w:r>
          </w:p>
          <w:p w14:paraId="380E2A02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- završetak revitalizacije parkova i javnih površina 26.020,51</w:t>
            </w:r>
          </w:p>
          <w:p w14:paraId="6ED92566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- kupnja čamca za skelski prijelaz na rijeci Dravi 2.539,00</w:t>
            </w:r>
          </w:p>
          <w:p w14:paraId="5658B0AE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Realizacijom ovih kapitalnih projekata doprinosi se značajnom razvoju Općine </w:t>
            </w:r>
          </w:p>
          <w:p w14:paraId="3F1E783D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Podravske Sesvete na području prometne infrastrukture, podrške u sportskim i </w:t>
            </w:r>
          </w:p>
          <w:p w14:paraId="02782918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kulturnim aktivnostima, obnavljanju i očuvanju zelene infrastrukture i </w:t>
            </w:r>
          </w:p>
          <w:p w14:paraId="65161BE7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općenito razvoju gospodarskog i društvenog života općine.</w:t>
            </w:r>
          </w:p>
          <w:p w14:paraId="4D1F8D60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 xml:space="preserve">                                </w:t>
            </w:r>
          </w:p>
          <w:p w14:paraId="4E7F8347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Plan za 2025. godinu  587.500,00</w:t>
            </w:r>
          </w:p>
          <w:p w14:paraId="0CDC07BF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Ostvareno do 31. prosinca 2025. 396.970,92</w:t>
            </w:r>
          </w:p>
          <w:p w14:paraId="3754F58A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</w:p>
          <w:p w14:paraId="4F3D9434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 xml:space="preserve">                                </w:t>
            </w:r>
          </w:p>
          <w:p w14:paraId="1A494142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</w:p>
        </w:tc>
      </w:tr>
      <w:tr w14:paraId="1C9CA06B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1165" w:type="dxa"/>
            <w:tcBorders>
              <w:left w:val="single" w:color="FFFFFF" w:themeColor="background1" w:sz="8" w:space="0"/>
              <w:bottom w:val="nil"/>
              <w:right w:val="single" w:color="FFFFFF" w:themeColor="background1" w:sz="24" w:space="0"/>
              <w:insideH w:val="nil"/>
              <w:insideV w:val="single" w:sz="24" w:space="0"/>
            </w:tcBorders>
            <w:shd w:val="clear" w:color="auto" w:fill="4BACC6" w:themeFill="accent5"/>
          </w:tcPr>
          <w:p w14:paraId="23F25B15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  <w:t>PROGRAM 2201:    KOMUNALNE DJELATNOSTI U KOMUNALNOM POGONU</w:t>
            </w:r>
          </w:p>
          <w:p w14:paraId="6F3CE927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Ostvareni ciljevi programa: Tijekom 2025. godine namještenici Komunalnog pogona</w:t>
            </w:r>
          </w:p>
          <w:p w14:paraId="1EFB0501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izvršavali su svoje poslove prema Pravilniku o unutarnjem redu na poslovima iz</w:t>
            </w:r>
          </w:p>
          <w:p w14:paraId="636011C0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područja komunalnog gospodarstva na području Općine Podravske Sesvete. Redovito</w:t>
            </w:r>
          </w:p>
          <w:p w14:paraId="678F4B32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su održavane javne površine, lokalni vodovodi, javna rasvjeta i komunalna oprema.</w:t>
            </w:r>
          </w:p>
          <w:p w14:paraId="302F69A1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Sve komunalne aktivnosti provode se u skladu sa Programom održavanja komunalne</w:t>
            </w:r>
          </w:p>
          <w:p w14:paraId="1FC5419C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infrastrukture Općine Podravske Sesvete u 2025. godini.    </w:t>
            </w:r>
          </w:p>
          <w:p w14:paraId="12D87A13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Najznačajniji rashodi odnose se na plaće, doprinose i poreze namještenika u </w:t>
            </w:r>
          </w:p>
          <w:p w14:paraId="3927E6DC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Komunalnom pogonu, održavanju prometne infrastrukture, parkova, dječjih </w:t>
            </w:r>
          </w:p>
          <w:p w14:paraId="2A783916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igrališta  i ostale  komunalne infrastrukture, održavanje kanalizacije i pročistača,</w:t>
            </w:r>
          </w:p>
          <w:p w14:paraId="6C089939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veterinarske usluge.            </w:t>
            </w:r>
          </w:p>
          <w:p w14:paraId="20CDE4B5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</w:p>
          <w:p w14:paraId="042FB128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Plan za 2025.: 250.950,00</w:t>
            </w:r>
          </w:p>
          <w:p w14:paraId="744588A8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Ostvareno do 31. prosinca 2025. 193.823,42</w:t>
            </w:r>
          </w:p>
          <w:p w14:paraId="7A3E7C9B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</w:p>
          <w:p w14:paraId="5B0B885C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  <w:t>PROGRAM 2301:    REDOVAN PROGRAM PREDŠKOLSKOG ODGOJA, OBRAZOVANJA I SKRBI</w:t>
            </w:r>
          </w:p>
          <w:p w14:paraId="42942D3A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</w:p>
          <w:p w14:paraId="3B214A35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Ostvareni ciljevi programa: Dječji vrtić „Leptirići“ proračunski je korisnik Općine</w:t>
            </w:r>
          </w:p>
          <w:p w14:paraId="05A91BEE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Podravske Sesvete. Djelatnici dječjeg vrtića „Leptirići“ izvršavali su svoje obveze</w:t>
            </w:r>
          </w:p>
          <w:p w14:paraId="4981ED7D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sukladno propisima vezanim za predškolski odgoj, te u skladu sa Financijskim planom</w:t>
            </w:r>
          </w:p>
          <w:p w14:paraId="0F6398DB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koji je sastavni dio Proračuna Općine Podravske Sesvete.</w:t>
            </w:r>
          </w:p>
          <w:p w14:paraId="473A6C14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Najznačajniji rashodi odnose se na plaće, doprinose i poreze zaposlenih u vrtiću,</w:t>
            </w:r>
          </w:p>
          <w:p w14:paraId="07D97EDB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troškove prehrane i režijske troškove</w:t>
            </w:r>
          </w:p>
          <w:p w14:paraId="2B3791E5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 xml:space="preserve">                                  </w:t>
            </w:r>
          </w:p>
          <w:p w14:paraId="62D2AEB3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Plan za 2025.: 289.000,00</w:t>
            </w:r>
          </w:p>
          <w:p w14:paraId="01B45ADA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Ostvareno do 31. prosinca 2025.: 254.159,17</w:t>
            </w:r>
          </w:p>
          <w:p w14:paraId="6101BC48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</w:p>
          <w:p w14:paraId="6B361767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</w:p>
          <w:p w14:paraId="03A2EE4D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</w:p>
        </w:tc>
      </w:tr>
      <w:tr w14:paraId="6F4C04F9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11165" w:type="dxa"/>
            <w:tcBorders>
              <w:left w:val="single" w:color="FFFFFF" w:themeColor="background1" w:sz="8" w:space="0"/>
              <w:bottom w:val="nil"/>
              <w:right w:val="single" w:color="FFFFFF" w:themeColor="background1" w:sz="24" w:space="0"/>
              <w:insideH w:val="nil"/>
              <w:insideV w:val="single" w:sz="24" w:space="0"/>
            </w:tcBorders>
            <w:shd w:val="clear" w:color="auto" w:fill="4BACC6" w:themeFill="accent5"/>
          </w:tcPr>
          <w:p w14:paraId="1A866DB8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  <w:t>PROGRAM 3001: UNAPREĐENJE POLJOPRIVREDE</w:t>
            </w:r>
          </w:p>
          <w:p w14:paraId="59F4C982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  <w:t xml:space="preserve">                                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Ostvareni ciljevi programa: Unapređenje poljoprivrede provodi se kroz održavanje </w:t>
            </w:r>
          </w:p>
          <w:p w14:paraId="6609BA98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poljskih puteva na području Općine Podravske Sesvete, sufinanciranje umjetnog</w:t>
            </w:r>
          </w:p>
          <w:p w14:paraId="0D839950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osjemenjivanja goveda i krmača, te ostvarivanje subvencija kroz posebne programe u </w:t>
            </w:r>
          </w:p>
          <w:p w14:paraId="2BA71914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poljoprivredi za nabavu poljoprivredne opreme i strojeva, te stručne edukacije</w:t>
            </w:r>
          </w:p>
          <w:p w14:paraId="0E703F31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</w:t>
            </w:r>
          </w:p>
          <w:p w14:paraId="53FAB2E2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Plan za 2025.: 41.500,00</w:t>
            </w:r>
          </w:p>
          <w:p w14:paraId="6A4835FC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Ostvareno do 31. prosinca 2025.: 35.120,68</w:t>
            </w:r>
          </w:p>
        </w:tc>
      </w:tr>
      <w:tr w14:paraId="7DE8B6C8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11165" w:type="dxa"/>
            <w:tcBorders>
              <w:left w:val="single" w:color="FFFFFF" w:themeColor="background1" w:sz="8" w:space="0"/>
              <w:bottom w:val="nil"/>
              <w:right w:val="single" w:color="FFFFFF" w:themeColor="background1" w:sz="24" w:space="0"/>
              <w:insideH w:val="nil"/>
              <w:insideV w:val="single" w:sz="24" w:space="0"/>
            </w:tcBorders>
            <w:shd w:val="clear" w:color="auto" w:fill="4BACC6" w:themeFill="accent5"/>
          </w:tcPr>
          <w:p w14:paraId="25D1D518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</w:p>
        </w:tc>
      </w:tr>
      <w:tr w14:paraId="666D0AA5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65" w:type="dxa"/>
            <w:tcBorders>
              <w:left w:val="single" w:color="FFFFFF" w:themeColor="background1" w:sz="8" w:space="0"/>
              <w:bottom w:val="nil"/>
              <w:right w:val="single" w:color="FFFFFF" w:themeColor="background1" w:sz="24" w:space="0"/>
              <w:insideH w:val="nil"/>
              <w:insideV w:val="single" w:sz="24" w:space="0"/>
            </w:tcBorders>
            <w:shd w:val="clear" w:color="auto" w:fill="4BACC6" w:themeFill="accent5"/>
          </w:tcPr>
          <w:p w14:paraId="75BB9967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  <w:t>PROGRAM 3201: SOCIJALNA SKRB-OPĆENITO</w:t>
            </w:r>
          </w:p>
          <w:p w14:paraId="407E8430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Ostvareni ciljevi programa: Općina Podravske Sesvete kroz Program socijalne skrbi</w:t>
            </w:r>
          </w:p>
          <w:p w14:paraId="06ACEC0E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provodi socijalnu zaštitu iz područja socijalne skrbi. Tijekom 2025. godine</w:t>
            </w:r>
          </w:p>
          <w:p w14:paraId="4EE9F78E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isplaćivane su porodiljne naknade, stipendije, uskrsne i božićne naknade za starije.</w:t>
            </w:r>
          </w:p>
          <w:p w14:paraId="475DF8A1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Provodi se Program „Zaželi-brižne ruke Podravske“ kojim se  pruža pomoć i  </w:t>
            </w:r>
          </w:p>
          <w:p w14:paraId="0ED44E58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njega  slabopokretnim i bolesnim starijim osobama. </w:t>
            </w:r>
          </w:p>
          <w:p w14:paraId="6A6BF517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 xml:space="preserve">                                    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Prema programu javnih potreba u školstvu izvršeni su prijenosi za Područnu </w:t>
            </w:r>
          </w:p>
          <w:p w14:paraId="423DF301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Školu Podravske Sesvete, osigurane su radne bilježnice i ostala pomagala </w:t>
            </w:r>
          </w:p>
          <w:p w14:paraId="1C49AD46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za učenike Područne škole, sufinancirani su učenički domovi za učenike</w:t>
            </w:r>
          </w:p>
          <w:p w14:paraId="06B74A42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srednjih škola.</w:t>
            </w:r>
          </w:p>
          <w:p w14:paraId="620B1EBA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>.</w:t>
            </w:r>
          </w:p>
          <w:p w14:paraId="571AD0AD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Plan za 2025.: 275.830,00</w:t>
            </w:r>
          </w:p>
          <w:p w14:paraId="4A8C8C53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Ostvareno do 31. prosinca 2025.: 192.357,67</w:t>
            </w:r>
          </w:p>
          <w:p w14:paraId="565DC575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</w:p>
        </w:tc>
      </w:tr>
      <w:tr w14:paraId="0171B54C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65" w:type="dxa"/>
            <w:tcBorders>
              <w:left w:val="single" w:color="FFFFFF" w:themeColor="background1" w:sz="8" w:space="0"/>
              <w:bottom w:val="nil"/>
              <w:right w:val="single" w:color="FFFFFF" w:themeColor="background1" w:sz="24" w:space="0"/>
              <w:insideH w:val="nil"/>
              <w:insideV w:val="single" w:sz="24" w:space="0"/>
            </w:tcBorders>
            <w:shd w:val="clear" w:color="auto" w:fill="4BACC6" w:themeFill="accent5"/>
          </w:tcPr>
          <w:p w14:paraId="12AFAE5A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  <w:t>PROGRAM 3301:       JAVNE POTREBE UDRUGA GRAĐANA, KLUBOVA I DRUŠTAVA</w:t>
            </w:r>
          </w:p>
          <w:p w14:paraId="14E1764E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 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Ostvareni ciljevi programa: Tekuće donacije za udruge koje djeluju na području</w:t>
            </w:r>
          </w:p>
          <w:p w14:paraId="669FD016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  Općine Podravske Sesvete tijekom 2025. godine dodjeljuju se temeljem provedenog</w:t>
            </w:r>
          </w:p>
          <w:p w14:paraId="67CB8071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     natječaja, te planiranim sredstvima u Proračunu za 2025. godinu. Provedbom ovog</w:t>
            </w:r>
          </w:p>
          <w:p w14:paraId="20C47D58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 xml:space="preserve">                                      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Programa doprinosi se sportskom, kulturnom i općenito društvenom razvoju</w:t>
            </w:r>
          </w:p>
          <w:p w14:paraId="7F0AD3BD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 xml:space="preserve">                                      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na području općine.</w:t>
            </w: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 xml:space="preserve">                                       </w:t>
            </w:r>
          </w:p>
          <w:p w14:paraId="7855C064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 xml:space="preserve">  </w:t>
            </w:r>
          </w:p>
          <w:p w14:paraId="00AA2B22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Plan za 2025.: 127.500,00</w:t>
            </w:r>
          </w:p>
          <w:p w14:paraId="19AC48CE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                                 Ostvareno do 31. prosinca 2025.: 111.577,77</w:t>
            </w:r>
          </w:p>
        </w:tc>
      </w:tr>
      <w:tr w14:paraId="1BA4EF0E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65" w:type="dxa"/>
            <w:tcBorders>
              <w:left w:val="single" w:color="FFFFFF" w:themeColor="background1" w:sz="8" w:space="0"/>
              <w:right w:val="single" w:color="FFFFFF" w:themeColor="background1" w:sz="24" w:space="0"/>
              <w:insideH w:val="nil"/>
              <w:insideV w:val="single" w:sz="24" w:space="0"/>
            </w:tcBorders>
            <w:shd w:val="clear" w:color="auto" w:fill="4BACC6" w:themeFill="accent5"/>
          </w:tcPr>
          <w:p w14:paraId="56A88FE4">
            <w:pPr>
              <w:rPr>
                <w:rFonts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</w:p>
        </w:tc>
      </w:tr>
    </w:tbl>
    <w:p w14:paraId="05B9D38F">
      <w:pPr>
        <w:rPr>
          <w:rFonts w:ascii="Times New Roman" w:hAnsi="Times New Roman" w:cs="Times New Roman"/>
          <w:sz w:val="24"/>
          <w:szCs w:val="24"/>
        </w:rPr>
      </w:pPr>
    </w:p>
    <w:p w14:paraId="44F5CD25">
      <w:pPr>
        <w:rPr>
          <w:rFonts w:ascii="Times New Roman" w:hAnsi="Times New Roman" w:cs="Times New Roman"/>
          <w:sz w:val="24"/>
          <w:szCs w:val="24"/>
        </w:rPr>
      </w:pPr>
    </w:p>
    <w:p w14:paraId="0DFA0595">
      <w:pPr>
        <w:rPr>
          <w:rFonts w:ascii="Times New Roman" w:hAnsi="Times New Roman" w:cs="Times New Roman"/>
          <w:sz w:val="24"/>
          <w:szCs w:val="24"/>
        </w:rPr>
      </w:pPr>
    </w:p>
    <w:p w14:paraId="7D45A531">
      <w:pPr>
        <w:pStyle w:val="10"/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RAČUN FINANCIRANJA</w:t>
      </w:r>
    </w:p>
    <w:p w14:paraId="73DF4C13">
      <w:pPr>
        <w:rPr>
          <w:rFonts w:ascii="Times New Roman" w:hAnsi="Times New Roman" w:cs="Times New Roman"/>
          <w:b/>
          <w:sz w:val="32"/>
          <w:szCs w:val="32"/>
        </w:rPr>
      </w:pPr>
    </w:p>
    <w:p w14:paraId="587657B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9"/>
        <w:tblW w:w="0" w:type="auto"/>
        <w:tblInd w:w="0" w:type="dxa"/>
        <w:tbl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6" w:space="0"/>
          <w:insideV w:val="single" w:color="FFFFFF" w:themeColor="background1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45"/>
        <w:gridCol w:w="2010"/>
        <w:gridCol w:w="1935"/>
        <w:gridCol w:w="1980"/>
      </w:tblGrid>
      <w:tr w14:paraId="5E6A970B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5145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4F1091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PRIMICI OD FINANCIJSKE IMOVINE I ZADUŽIVANJA</w:t>
            </w:r>
          </w:p>
        </w:tc>
        <w:tc>
          <w:tcPr>
            <w:tcW w:w="2010" w:type="dxa"/>
            <w:tcBorders>
              <w:top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  <w:insideH w:val="single" w:sz="8" w:space="0"/>
              <w:insideV w:val="single" w:sz="8" w:space="0"/>
            </w:tcBorders>
            <w:shd w:val="clear" w:color="auto" w:fill="A5D5E2" w:themeFill="accent5" w:themeFillTint="7F"/>
          </w:tcPr>
          <w:p w14:paraId="49A128C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 2025.</w:t>
            </w:r>
          </w:p>
        </w:tc>
        <w:tc>
          <w:tcPr>
            <w:tcW w:w="1935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46A737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Ostvareno           I-XII/2025.</w:t>
            </w:r>
          </w:p>
        </w:tc>
        <w:tc>
          <w:tcPr>
            <w:tcW w:w="1980" w:type="dxa"/>
            <w:tcBorders>
              <w:top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  <w:insideH w:val="single" w:sz="8" w:space="0"/>
              <w:insideV w:val="single" w:sz="8" w:space="0"/>
            </w:tcBorders>
            <w:shd w:val="clear" w:color="auto" w:fill="A5D5E2" w:themeFill="accent5" w:themeFillTint="7F"/>
          </w:tcPr>
          <w:p w14:paraId="180A4E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Napomena</w:t>
            </w:r>
          </w:p>
        </w:tc>
      </w:tr>
      <w:tr w14:paraId="08A5760F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5145" w:type="dxa"/>
            <w:tcBorders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3A316E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Primljeni zajmovi od banaka i ostalih financijskih institucija u javnom sektoru ( dugoročni krediti za kapitalne investicije aplicirane na fondove i druge kapitalne projekte)</w:t>
            </w:r>
          </w:p>
        </w:tc>
        <w:tc>
          <w:tcPr>
            <w:tcW w:w="2010" w:type="dxa"/>
            <w:shd w:val="clear" w:color="auto" w:fill="D2EAF0" w:themeFill="accent5" w:themeFillTint="3F"/>
          </w:tcPr>
          <w:p w14:paraId="155F13E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800.000,00</w:t>
            </w:r>
          </w:p>
        </w:tc>
        <w:tc>
          <w:tcPr>
            <w:tcW w:w="1935" w:type="dxa"/>
            <w:tcBorders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7B8BFE9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0" w:type="dxa"/>
            <w:shd w:val="clear" w:color="auto" w:fill="D2EAF0" w:themeFill="accent5" w:themeFillTint="3F"/>
          </w:tcPr>
          <w:p w14:paraId="44B25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09655FC">
      <w:pPr>
        <w:ind w:left="1080"/>
        <w:rPr>
          <w:rFonts w:ascii="Times New Roman" w:hAnsi="Times New Roman" w:cs="Times New Roman"/>
          <w:sz w:val="24"/>
          <w:szCs w:val="24"/>
        </w:rPr>
      </w:pPr>
    </w:p>
    <w:p w14:paraId="026D9BB0">
      <w:pPr>
        <w:ind w:left="1080"/>
        <w:rPr>
          <w:rFonts w:ascii="Times New Roman" w:hAnsi="Times New Roman" w:cs="Times New Roman"/>
          <w:sz w:val="24"/>
          <w:szCs w:val="24"/>
        </w:rPr>
      </w:pPr>
    </w:p>
    <w:p w14:paraId="14452442">
      <w:pPr>
        <w:ind w:left="1080"/>
        <w:rPr>
          <w:rFonts w:ascii="Times New Roman" w:hAnsi="Times New Roman" w:cs="Times New Roman"/>
          <w:sz w:val="24"/>
          <w:szCs w:val="24"/>
        </w:rPr>
      </w:pPr>
    </w:p>
    <w:p w14:paraId="1DA8DDAE">
      <w:pPr>
        <w:ind w:left="1080"/>
        <w:rPr>
          <w:rFonts w:ascii="Times New Roman" w:hAnsi="Times New Roman" w:cs="Times New Roman"/>
          <w:sz w:val="24"/>
          <w:szCs w:val="24"/>
        </w:rPr>
      </w:pPr>
    </w:p>
    <w:p w14:paraId="1170E3D6">
      <w:pPr>
        <w:ind w:left="1080"/>
        <w:rPr>
          <w:rFonts w:ascii="Times New Roman" w:hAnsi="Times New Roman" w:cs="Times New Roman"/>
          <w:sz w:val="24"/>
          <w:szCs w:val="24"/>
        </w:rPr>
      </w:pPr>
    </w:p>
    <w:p w14:paraId="41FA5B12">
      <w:pPr>
        <w:ind w:left="1080"/>
        <w:rPr>
          <w:rFonts w:ascii="Times New Roman" w:hAnsi="Times New Roman" w:cs="Times New Roman"/>
          <w:sz w:val="24"/>
          <w:szCs w:val="24"/>
        </w:rPr>
      </w:pPr>
    </w:p>
    <w:tbl>
      <w:tblPr>
        <w:tblStyle w:val="9"/>
        <w:tblW w:w="0" w:type="auto"/>
        <w:tblInd w:w="0" w:type="dxa"/>
        <w:tbl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6" w:space="0"/>
          <w:insideV w:val="single" w:color="FFFFFF" w:themeColor="background1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45"/>
        <w:gridCol w:w="2010"/>
        <w:gridCol w:w="1935"/>
        <w:gridCol w:w="1980"/>
      </w:tblGrid>
      <w:tr w14:paraId="5DD97A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5145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3C849A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IZDACI ZA  FINANCIJSKU IMOVINU I OTPLATE ZAJMOVA</w:t>
            </w:r>
          </w:p>
        </w:tc>
        <w:tc>
          <w:tcPr>
            <w:tcW w:w="2010" w:type="dxa"/>
            <w:tcBorders>
              <w:top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  <w:insideH w:val="single" w:sz="8" w:space="0"/>
              <w:insideV w:val="single" w:sz="8" w:space="0"/>
            </w:tcBorders>
            <w:shd w:val="clear" w:color="auto" w:fill="A5D5E2" w:themeFill="accent5" w:themeFillTint="7F"/>
          </w:tcPr>
          <w:p w14:paraId="4635A1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 2025.</w:t>
            </w:r>
          </w:p>
        </w:tc>
        <w:tc>
          <w:tcPr>
            <w:tcW w:w="1935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128DBC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Ostvareno           I-XII/2025.</w:t>
            </w:r>
          </w:p>
        </w:tc>
        <w:tc>
          <w:tcPr>
            <w:tcW w:w="1980" w:type="dxa"/>
            <w:tcBorders>
              <w:top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  <w:insideH w:val="single" w:sz="8" w:space="0"/>
              <w:insideV w:val="single" w:sz="8" w:space="0"/>
            </w:tcBorders>
            <w:shd w:val="clear" w:color="auto" w:fill="A5D5E2" w:themeFill="accent5" w:themeFillTint="7F"/>
          </w:tcPr>
          <w:p w14:paraId="6275D7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Napomena</w:t>
            </w:r>
          </w:p>
        </w:tc>
      </w:tr>
      <w:tr w14:paraId="229D5514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5145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18974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Otplata glavnice primljenih dugoročnih kredita od kreditnih institucija u javnom sektoru</w:t>
            </w:r>
          </w:p>
        </w:tc>
        <w:tc>
          <w:tcPr>
            <w:tcW w:w="2010" w:type="dxa"/>
            <w:shd w:val="clear" w:color="auto" w:fill="D2EAF0" w:themeFill="accent5" w:themeFillTint="3F"/>
          </w:tcPr>
          <w:p w14:paraId="7E817E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43.800,00</w:t>
            </w:r>
          </w:p>
        </w:tc>
        <w:tc>
          <w:tcPr>
            <w:tcW w:w="1935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48E962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42.845,76</w:t>
            </w:r>
          </w:p>
        </w:tc>
        <w:tc>
          <w:tcPr>
            <w:tcW w:w="1980" w:type="dxa"/>
            <w:shd w:val="clear" w:color="auto" w:fill="D2EAF0" w:themeFill="accent5" w:themeFillTint="3F"/>
          </w:tcPr>
          <w:p w14:paraId="3C624F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HBOR-  izgradnja dječjeg vrtića</w:t>
            </w:r>
          </w:p>
        </w:tc>
      </w:tr>
      <w:tr w14:paraId="5824CDBA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5145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08D5A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Otplata glavnice primljenih kratkoročnih kredita  od tuzemnih kreditnih institucija izvan javnog sektora</w:t>
            </w:r>
          </w:p>
        </w:tc>
        <w:tc>
          <w:tcPr>
            <w:tcW w:w="2010" w:type="dxa"/>
            <w:tcBorders>
              <w:top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  <w:insideH w:val="single" w:sz="8" w:space="0"/>
              <w:insideV w:val="single" w:sz="8" w:space="0"/>
            </w:tcBorders>
            <w:shd w:val="clear" w:color="auto" w:fill="A5D5E2" w:themeFill="accent5" w:themeFillTint="7F"/>
          </w:tcPr>
          <w:p w14:paraId="08014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35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348565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0" w:type="dxa"/>
            <w:tcBorders>
              <w:top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  <w:insideH w:val="single" w:sz="8" w:space="0"/>
              <w:insideV w:val="single" w:sz="8" w:space="0"/>
            </w:tcBorders>
            <w:shd w:val="clear" w:color="auto" w:fill="A5D5E2" w:themeFill="accent5" w:themeFillTint="7F"/>
          </w:tcPr>
          <w:p w14:paraId="7C976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1312C19"/>
    <w:p w14:paraId="18A061FD"/>
    <w:p w14:paraId="1B47A5CC"/>
    <w:p w14:paraId="46E7BE87"/>
    <w:p w14:paraId="4400F5FC"/>
    <w:tbl>
      <w:tblPr>
        <w:tblStyle w:val="9"/>
        <w:tblW w:w="0" w:type="auto"/>
        <w:tblInd w:w="0" w:type="dxa"/>
        <w:tbl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6" w:space="0"/>
          <w:insideV w:val="single" w:color="FFFFFF" w:themeColor="background1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45"/>
        <w:gridCol w:w="2010"/>
        <w:gridCol w:w="2876"/>
      </w:tblGrid>
      <w:tr w14:paraId="539FE977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5145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019164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color="FFFFFF" w:themeColor="background1" w:sz="8" w:space="0"/>
              <w:bottom w:val="nil"/>
              <w:right w:val="single" w:color="FFFFFF" w:themeColor="background1" w:sz="8" w:space="0"/>
              <w:insideV w:val="single" w:sz="8" w:space="0"/>
            </w:tcBorders>
            <w:shd w:val="clear" w:color="auto" w:fill="A5D5E2" w:themeFill="accent5" w:themeFillTint="7F"/>
          </w:tcPr>
          <w:p w14:paraId="41DA52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6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6F9C20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20065170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5145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7085C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STANJE POTRAŽIVANJA I OBVEZA</w:t>
            </w:r>
          </w:p>
        </w:tc>
        <w:tc>
          <w:tcPr>
            <w:tcW w:w="2010" w:type="dxa"/>
            <w:tcBorders>
              <w:top w:val="nil"/>
            </w:tcBorders>
            <w:shd w:val="clear" w:color="auto" w:fill="D2EAF0" w:themeFill="accent5" w:themeFillTint="3F"/>
          </w:tcPr>
          <w:p w14:paraId="58306D2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STANJE NA DAN 30.12.2025.</w:t>
            </w:r>
          </w:p>
        </w:tc>
        <w:tc>
          <w:tcPr>
            <w:tcW w:w="2876" w:type="dxa"/>
            <w:tcBorders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54D8E6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</w:tr>
      <w:tr w14:paraId="39B86401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5145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2D6EF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Potraživanja za prihode poslovanja</w:t>
            </w:r>
          </w:p>
        </w:tc>
        <w:tc>
          <w:tcPr>
            <w:tcW w:w="2010" w:type="dxa"/>
            <w:tcBorders>
              <w:top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  <w:insideH w:val="single" w:sz="8" w:space="0"/>
              <w:insideV w:val="single" w:sz="8" w:space="0"/>
            </w:tcBorders>
            <w:shd w:val="clear" w:color="auto" w:fill="A5D5E2" w:themeFill="accent5" w:themeFillTint="7F"/>
          </w:tcPr>
          <w:p w14:paraId="154F6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26.216,14</w:t>
            </w:r>
          </w:p>
        </w:tc>
        <w:tc>
          <w:tcPr>
            <w:tcW w:w="2876" w:type="dxa"/>
            <w:tcBorders>
              <w:top w:val="single" w:color="FFFFFF" w:themeColor="background1" w:sz="8" w:space="0"/>
              <w:left w:val="single" w:color="FFFFFF" w:themeColor="background1" w:sz="8" w:space="0"/>
              <w:bottom w:val="nil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4DCF5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Komunalna naknada, renta INA, porez na potrošnju, porez na promet nekretnina</w:t>
            </w:r>
          </w:p>
          <w:p w14:paraId="22267D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2793482B">
        <w:tblPrEx>
          <w:tblBorders>
            <w:top w:val="single" w:color="FFFFFF" w:themeColor="background1" w:sz="8" w:space="0"/>
            <w:left w:val="single" w:color="FFFFFF" w:themeColor="background1" w:sz="8" w:space="0"/>
            <w:bottom w:val="single" w:color="FFFFFF" w:themeColor="background1" w:sz="8" w:space="0"/>
            <w:right w:val="single" w:color="FFFFFF" w:themeColor="background1" w:sz="8" w:space="0"/>
            <w:insideH w:val="single" w:color="FFFFFF" w:themeColor="background1" w:sz="6" w:space="0"/>
            <w:insideV w:val="single" w:color="FFFFFF" w:themeColor="backgroun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5145" w:type="dxa"/>
            <w:tcBorders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56205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Nedospjele obveze za materijalne rashode</w:t>
            </w:r>
          </w:p>
        </w:tc>
        <w:tc>
          <w:tcPr>
            <w:tcW w:w="2010" w:type="dxa"/>
            <w:shd w:val="clear" w:color="auto" w:fill="D2EAF0" w:themeFill="accent5" w:themeFillTint="3F"/>
          </w:tcPr>
          <w:p w14:paraId="3309BD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267.041,32</w:t>
            </w:r>
          </w:p>
        </w:tc>
        <w:tc>
          <w:tcPr>
            <w:tcW w:w="2876" w:type="dxa"/>
            <w:tcBorders>
              <w:left w:val="single" w:color="FFFFFF" w:themeColor="background1" w:sz="8" w:space="0"/>
              <w:bottom w:val="single" w:color="FFFFFF" w:themeColor="background1" w:sz="8" w:space="0"/>
              <w:right w:val="single" w:color="FFFFFF" w:themeColor="background1" w:sz="8" w:space="0"/>
              <w:insideH w:val="nil"/>
              <w:insideV w:val="single" w:sz="8" w:space="0"/>
            </w:tcBorders>
            <w:shd w:val="clear" w:color="auto" w:fill="A5D5E2" w:themeFill="accent5" w:themeFillTint="7F"/>
          </w:tcPr>
          <w:p w14:paraId="17AB7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i investicijsko održavanje, redoviti mjesečni troškovi</w:t>
            </w:r>
          </w:p>
        </w:tc>
      </w:tr>
    </w:tbl>
    <w:p w14:paraId="0190D644">
      <w:pPr>
        <w:rPr>
          <w:rFonts w:ascii="Times New Roman" w:hAnsi="Times New Roman" w:cs="Times New Roman"/>
          <w:sz w:val="24"/>
          <w:szCs w:val="24"/>
        </w:rPr>
      </w:pPr>
    </w:p>
    <w:p w14:paraId="58AC8D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Općina Podravske Sesvete na dan 31.12.2025. nema potencijalnih obveza po osnovi sudskih sporova.</w:t>
      </w:r>
    </w:p>
    <w:p w14:paraId="15A21E50">
      <w:pPr>
        <w:rPr>
          <w:rFonts w:ascii="Times New Roman" w:hAnsi="Times New Roman" w:cs="Times New Roman"/>
          <w:sz w:val="24"/>
          <w:szCs w:val="24"/>
        </w:rPr>
      </w:pPr>
    </w:p>
    <w:p w14:paraId="7DB948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STANJE ŽIRO RAČUNA NA DAN 30.12.2025.    127.716,28 eura</w:t>
      </w:r>
    </w:p>
    <w:p w14:paraId="33E4FBE0">
      <w:pPr>
        <w:rPr>
          <w:rFonts w:ascii="Times New Roman" w:hAnsi="Times New Roman" w:cs="Times New Roman"/>
          <w:sz w:val="24"/>
          <w:szCs w:val="24"/>
        </w:rPr>
      </w:pPr>
    </w:p>
    <w:p w14:paraId="6E0ED71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III. OSTVARENI VIŠAK/MANJAK</w:t>
      </w:r>
    </w:p>
    <w:p w14:paraId="7581D80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</w:p>
    <w:p w14:paraId="12D244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Rasporedom rezultata poslovanja u 2025. godini utvrđen je manjak prihoda nad rashodima u iznosu 45.577,78 eura koji će se pokriti iz prihoda poslovanja u 2026. godini, a utvrđeni manjak uvrstit će se u slijedeće Izmjene i dopune Proračuna za 2026. godinu.</w:t>
      </w:r>
    </w:p>
    <w:p w14:paraId="22D56324">
      <w:pPr>
        <w:rPr>
          <w:rFonts w:ascii="Times New Roman" w:hAnsi="Times New Roman" w:cs="Times New Roman"/>
          <w:sz w:val="24"/>
          <w:szCs w:val="24"/>
        </w:rPr>
      </w:pPr>
    </w:p>
    <w:p w14:paraId="61A72397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IV. ZAVRŠNA ODREDBA</w:t>
      </w:r>
    </w:p>
    <w:p w14:paraId="39B03A4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B94C2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Ovo Obrazloženje sastavni je dio Godišnjeg izvještaja o izvršenju Proračuna Općine Podravske Sesvete za razdoblje od 1. siječnja do 31. prosinca 2025. godine.</w:t>
      </w:r>
    </w:p>
    <w:p w14:paraId="4B013D0A">
      <w:pPr>
        <w:rPr>
          <w:rFonts w:ascii="Times New Roman" w:hAnsi="Times New Roman" w:cs="Times New Roman"/>
          <w:sz w:val="24"/>
          <w:szCs w:val="24"/>
        </w:rPr>
      </w:pPr>
    </w:p>
    <w:p w14:paraId="41C44B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400-01/24-01/06</w:t>
      </w:r>
    </w:p>
    <w:p w14:paraId="5F78CA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2137-24-04-26-2</w:t>
      </w:r>
    </w:p>
    <w:p w14:paraId="41FE1B97">
      <w:pPr>
        <w:rPr>
          <w:rFonts w:hint="default"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</w:rPr>
        <w:t xml:space="preserve">Podravske Sesvete, </w:t>
      </w:r>
      <w:r>
        <w:rPr>
          <w:rFonts w:hint="default" w:ascii="Times New Roman" w:hAnsi="Times New Roman" w:cs="Times New Roman"/>
          <w:sz w:val="24"/>
          <w:szCs w:val="24"/>
          <w:lang w:val="hr-HR"/>
        </w:rPr>
        <w:t>25. svibnja 2026.</w:t>
      </w:r>
      <w:bookmarkStart w:id="0" w:name="_GoBack"/>
      <w:bookmarkEnd w:id="0"/>
    </w:p>
    <w:p w14:paraId="296E535E">
      <w:pPr>
        <w:rPr>
          <w:rFonts w:ascii="Times New Roman" w:hAnsi="Times New Roman" w:cs="Times New Roman"/>
          <w:sz w:val="24"/>
          <w:szCs w:val="24"/>
        </w:rPr>
      </w:pPr>
    </w:p>
    <w:p w14:paraId="6B4F89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OPĆINSKI NAČELNIK      </w:t>
      </w:r>
    </w:p>
    <w:p w14:paraId="358018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Marko Derežić, bacc.ing.sec.</w:t>
      </w:r>
    </w:p>
    <w:sectPr>
      <w:pgSz w:w="16838" w:h="11906" w:orient="landscape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D31225"/>
    <w:multiLevelType w:val="multilevel"/>
    <w:tmpl w:val="2ED31225"/>
    <w:lvl w:ilvl="0" w:tentative="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85" w:hanging="360"/>
      </w:pPr>
    </w:lvl>
    <w:lvl w:ilvl="2" w:tentative="0">
      <w:start w:val="1"/>
      <w:numFmt w:val="lowerRoman"/>
      <w:lvlText w:val="%3."/>
      <w:lvlJc w:val="right"/>
      <w:pPr>
        <w:ind w:left="2205" w:hanging="180"/>
      </w:pPr>
    </w:lvl>
    <w:lvl w:ilvl="3" w:tentative="0">
      <w:start w:val="1"/>
      <w:numFmt w:val="decimal"/>
      <w:lvlText w:val="%4."/>
      <w:lvlJc w:val="left"/>
      <w:pPr>
        <w:ind w:left="2925" w:hanging="360"/>
      </w:pPr>
    </w:lvl>
    <w:lvl w:ilvl="4" w:tentative="0">
      <w:start w:val="1"/>
      <w:numFmt w:val="lowerLetter"/>
      <w:lvlText w:val="%5."/>
      <w:lvlJc w:val="left"/>
      <w:pPr>
        <w:ind w:left="3645" w:hanging="360"/>
      </w:pPr>
    </w:lvl>
    <w:lvl w:ilvl="5" w:tentative="0">
      <w:start w:val="1"/>
      <w:numFmt w:val="lowerRoman"/>
      <w:lvlText w:val="%6."/>
      <w:lvlJc w:val="right"/>
      <w:pPr>
        <w:ind w:left="4365" w:hanging="180"/>
      </w:pPr>
    </w:lvl>
    <w:lvl w:ilvl="6" w:tentative="0">
      <w:start w:val="1"/>
      <w:numFmt w:val="decimal"/>
      <w:lvlText w:val="%7."/>
      <w:lvlJc w:val="left"/>
      <w:pPr>
        <w:ind w:left="5085" w:hanging="360"/>
      </w:pPr>
    </w:lvl>
    <w:lvl w:ilvl="7" w:tentative="0">
      <w:start w:val="1"/>
      <w:numFmt w:val="lowerLetter"/>
      <w:lvlText w:val="%8."/>
      <w:lvlJc w:val="left"/>
      <w:pPr>
        <w:ind w:left="5805" w:hanging="360"/>
      </w:pPr>
    </w:lvl>
    <w:lvl w:ilvl="8" w:tentative="0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6FFA1F8B"/>
    <w:multiLevelType w:val="multilevel"/>
    <w:tmpl w:val="6FFA1F8B"/>
    <w:lvl w:ilvl="0" w:tentative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68E"/>
    <w:rsid w:val="0000108B"/>
    <w:rsid w:val="0000353B"/>
    <w:rsid w:val="0002268E"/>
    <w:rsid w:val="00044329"/>
    <w:rsid w:val="0005124C"/>
    <w:rsid w:val="00055EEC"/>
    <w:rsid w:val="00072386"/>
    <w:rsid w:val="00086C98"/>
    <w:rsid w:val="000927F8"/>
    <w:rsid w:val="00097D7C"/>
    <w:rsid w:val="000A5E41"/>
    <w:rsid w:val="000A6E1B"/>
    <w:rsid w:val="000B1DFE"/>
    <w:rsid w:val="000C2C3E"/>
    <w:rsid w:val="000C3B88"/>
    <w:rsid w:val="000C644C"/>
    <w:rsid w:val="000D0303"/>
    <w:rsid w:val="000D1AFD"/>
    <w:rsid w:val="000D5E61"/>
    <w:rsid w:val="000E22C7"/>
    <w:rsid w:val="000E2330"/>
    <w:rsid w:val="000E2938"/>
    <w:rsid w:val="000E7514"/>
    <w:rsid w:val="000F7037"/>
    <w:rsid w:val="000F794B"/>
    <w:rsid w:val="00101B68"/>
    <w:rsid w:val="00114EA6"/>
    <w:rsid w:val="00126E04"/>
    <w:rsid w:val="00136759"/>
    <w:rsid w:val="001378C2"/>
    <w:rsid w:val="001404B0"/>
    <w:rsid w:val="00147841"/>
    <w:rsid w:val="00154E83"/>
    <w:rsid w:val="00166447"/>
    <w:rsid w:val="00171E5A"/>
    <w:rsid w:val="001727DC"/>
    <w:rsid w:val="001743DB"/>
    <w:rsid w:val="00186B23"/>
    <w:rsid w:val="0019026C"/>
    <w:rsid w:val="00192874"/>
    <w:rsid w:val="001A3B3F"/>
    <w:rsid w:val="001B1890"/>
    <w:rsid w:val="001B6E4E"/>
    <w:rsid w:val="001D14C5"/>
    <w:rsid w:val="001D31CC"/>
    <w:rsid w:val="001E065D"/>
    <w:rsid w:val="001F43E1"/>
    <w:rsid w:val="001F48FD"/>
    <w:rsid w:val="001F5C01"/>
    <w:rsid w:val="001F6075"/>
    <w:rsid w:val="0021058F"/>
    <w:rsid w:val="00211385"/>
    <w:rsid w:val="002116EC"/>
    <w:rsid w:val="0021709C"/>
    <w:rsid w:val="00220348"/>
    <w:rsid w:val="00225A91"/>
    <w:rsid w:val="00231A6E"/>
    <w:rsid w:val="00232504"/>
    <w:rsid w:val="00243A15"/>
    <w:rsid w:val="0024426C"/>
    <w:rsid w:val="00244F96"/>
    <w:rsid w:val="00251907"/>
    <w:rsid w:val="00264989"/>
    <w:rsid w:val="00265A71"/>
    <w:rsid w:val="00265BC9"/>
    <w:rsid w:val="0027073A"/>
    <w:rsid w:val="00274B4E"/>
    <w:rsid w:val="00275372"/>
    <w:rsid w:val="00293E08"/>
    <w:rsid w:val="002A7639"/>
    <w:rsid w:val="002B0073"/>
    <w:rsid w:val="002B6194"/>
    <w:rsid w:val="002B6A08"/>
    <w:rsid w:val="002C3422"/>
    <w:rsid w:val="002C734D"/>
    <w:rsid w:val="002D4454"/>
    <w:rsid w:val="002E72BB"/>
    <w:rsid w:val="00304B19"/>
    <w:rsid w:val="00306DFB"/>
    <w:rsid w:val="00307682"/>
    <w:rsid w:val="003159E5"/>
    <w:rsid w:val="0031667C"/>
    <w:rsid w:val="00317740"/>
    <w:rsid w:val="0032527D"/>
    <w:rsid w:val="003314FA"/>
    <w:rsid w:val="00334C1D"/>
    <w:rsid w:val="00340EED"/>
    <w:rsid w:val="00347774"/>
    <w:rsid w:val="003532C3"/>
    <w:rsid w:val="003557E0"/>
    <w:rsid w:val="0035594D"/>
    <w:rsid w:val="003710D2"/>
    <w:rsid w:val="0037661F"/>
    <w:rsid w:val="003768F5"/>
    <w:rsid w:val="00380270"/>
    <w:rsid w:val="003809AF"/>
    <w:rsid w:val="003825B6"/>
    <w:rsid w:val="00382A30"/>
    <w:rsid w:val="00386AA0"/>
    <w:rsid w:val="00396FC7"/>
    <w:rsid w:val="003A4383"/>
    <w:rsid w:val="003A4985"/>
    <w:rsid w:val="003B1DA9"/>
    <w:rsid w:val="003B5220"/>
    <w:rsid w:val="003C736E"/>
    <w:rsid w:val="003C75B9"/>
    <w:rsid w:val="003D2775"/>
    <w:rsid w:val="003E2311"/>
    <w:rsid w:val="003E2E80"/>
    <w:rsid w:val="003E5A9E"/>
    <w:rsid w:val="003F17C7"/>
    <w:rsid w:val="003F2122"/>
    <w:rsid w:val="003F21B2"/>
    <w:rsid w:val="00400873"/>
    <w:rsid w:val="00412CB8"/>
    <w:rsid w:val="004134AD"/>
    <w:rsid w:val="0041445B"/>
    <w:rsid w:val="00415281"/>
    <w:rsid w:val="00415E04"/>
    <w:rsid w:val="0041735D"/>
    <w:rsid w:val="00420AC9"/>
    <w:rsid w:val="00421FF9"/>
    <w:rsid w:val="00451464"/>
    <w:rsid w:val="004554FB"/>
    <w:rsid w:val="00456E22"/>
    <w:rsid w:val="00464464"/>
    <w:rsid w:val="004665B0"/>
    <w:rsid w:val="00470571"/>
    <w:rsid w:val="0047128B"/>
    <w:rsid w:val="00471EC0"/>
    <w:rsid w:val="00475638"/>
    <w:rsid w:val="00483622"/>
    <w:rsid w:val="00485B07"/>
    <w:rsid w:val="00486F9E"/>
    <w:rsid w:val="004918D9"/>
    <w:rsid w:val="00493670"/>
    <w:rsid w:val="004A7A45"/>
    <w:rsid w:val="004B02FE"/>
    <w:rsid w:val="004B2478"/>
    <w:rsid w:val="004B2F63"/>
    <w:rsid w:val="004B7A22"/>
    <w:rsid w:val="004D0B16"/>
    <w:rsid w:val="004D2B57"/>
    <w:rsid w:val="004D5108"/>
    <w:rsid w:val="004E1BE0"/>
    <w:rsid w:val="004E3DBD"/>
    <w:rsid w:val="004F36E5"/>
    <w:rsid w:val="004F5D70"/>
    <w:rsid w:val="005114AF"/>
    <w:rsid w:val="00520E95"/>
    <w:rsid w:val="00522B14"/>
    <w:rsid w:val="005260DA"/>
    <w:rsid w:val="00527B20"/>
    <w:rsid w:val="0053130C"/>
    <w:rsid w:val="0054188D"/>
    <w:rsid w:val="005421DA"/>
    <w:rsid w:val="0054664E"/>
    <w:rsid w:val="00552262"/>
    <w:rsid w:val="005534FB"/>
    <w:rsid w:val="00560008"/>
    <w:rsid w:val="00562B05"/>
    <w:rsid w:val="00564A4F"/>
    <w:rsid w:val="005664D1"/>
    <w:rsid w:val="005748D3"/>
    <w:rsid w:val="00576191"/>
    <w:rsid w:val="00594C2A"/>
    <w:rsid w:val="005A5127"/>
    <w:rsid w:val="005A7B18"/>
    <w:rsid w:val="005B116F"/>
    <w:rsid w:val="005B4556"/>
    <w:rsid w:val="005B4A26"/>
    <w:rsid w:val="005B53EF"/>
    <w:rsid w:val="005C3E3B"/>
    <w:rsid w:val="005C4552"/>
    <w:rsid w:val="005C680C"/>
    <w:rsid w:val="005D09AB"/>
    <w:rsid w:val="005D28E9"/>
    <w:rsid w:val="005D7204"/>
    <w:rsid w:val="005E0BAB"/>
    <w:rsid w:val="005E39E8"/>
    <w:rsid w:val="005E3D0D"/>
    <w:rsid w:val="005F3205"/>
    <w:rsid w:val="005F5D39"/>
    <w:rsid w:val="006012CC"/>
    <w:rsid w:val="00601DB5"/>
    <w:rsid w:val="00604BC0"/>
    <w:rsid w:val="006063B6"/>
    <w:rsid w:val="00611331"/>
    <w:rsid w:val="006123A0"/>
    <w:rsid w:val="00625DBC"/>
    <w:rsid w:val="00625EF7"/>
    <w:rsid w:val="00632A33"/>
    <w:rsid w:val="006376F7"/>
    <w:rsid w:val="006441F2"/>
    <w:rsid w:val="00650AF2"/>
    <w:rsid w:val="0065239E"/>
    <w:rsid w:val="00657078"/>
    <w:rsid w:val="00661C0F"/>
    <w:rsid w:val="006650C3"/>
    <w:rsid w:val="00666650"/>
    <w:rsid w:val="00670D4A"/>
    <w:rsid w:val="0067623D"/>
    <w:rsid w:val="0068121F"/>
    <w:rsid w:val="00694807"/>
    <w:rsid w:val="00694DC4"/>
    <w:rsid w:val="0069693A"/>
    <w:rsid w:val="006B58FE"/>
    <w:rsid w:val="006B6C71"/>
    <w:rsid w:val="006C2A3A"/>
    <w:rsid w:val="006C7993"/>
    <w:rsid w:val="006D608C"/>
    <w:rsid w:val="006F4C1A"/>
    <w:rsid w:val="00703F29"/>
    <w:rsid w:val="00707A40"/>
    <w:rsid w:val="007233A6"/>
    <w:rsid w:val="007253B2"/>
    <w:rsid w:val="00735341"/>
    <w:rsid w:val="00736F09"/>
    <w:rsid w:val="00737E5D"/>
    <w:rsid w:val="00744B83"/>
    <w:rsid w:val="00750113"/>
    <w:rsid w:val="00750521"/>
    <w:rsid w:val="00750B18"/>
    <w:rsid w:val="007564A1"/>
    <w:rsid w:val="0077182A"/>
    <w:rsid w:val="00783652"/>
    <w:rsid w:val="007841D1"/>
    <w:rsid w:val="007866AB"/>
    <w:rsid w:val="00793BC4"/>
    <w:rsid w:val="007977AB"/>
    <w:rsid w:val="007A37CC"/>
    <w:rsid w:val="007B280E"/>
    <w:rsid w:val="007B4FDF"/>
    <w:rsid w:val="007B729A"/>
    <w:rsid w:val="007C2E6C"/>
    <w:rsid w:val="007C325E"/>
    <w:rsid w:val="007C791F"/>
    <w:rsid w:val="007D082B"/>
    <w:rsid w:val="007D5D47"/>
    <w:rsid w:val="007F76B9"/>
    <w:rsid w:val="00801227"/>
    <w:rsid w:val="008028BA"/>
    <w:rsid w:val="008054AA"/>
    <w:rsid w:val="00812844"/>
    <w:rsid w:val="008162B6"/>
    <w:rsid w:val="00816FF1"/>
    <w:rsid w:val="0082130A"/>
    <w:rsid w:val="00826F32"/>
    <w:rsid w:val="00830852"/>
    <w:rsid w:val="008343C9"/>
    <w:rsid w:val="0083733E"/>
    <w:rsid w:val="00843E7E"/>
    <w:rsid w:val="0084511A"/>
    <w:rsid w:val="0084727F"/>
    <w:rsid w:val="00847BAB"/>
    <w:rsid w:val="008518B4"/>
    <w:rsid w:val="00857B15"/>
    <w:rsid w:val="00862495"/>
    <w:rsid w:val="0086550C"/>
    <w:rsid w:val="00873E72"/>
    <w:rsid w:val="00882B59"/>
    <w:rsid w:val="008876BC"/>
    <w:rsid w:val="008A7701"/>
    <w:rsid w:val="008C013F"/>
    <w:rsid w:val="008C3489"/>
    <w:rsid w:val="008C47E5"/>
    <w:rsid w:val="008D0B90"/>
    <w:rsid w:val="008D31D9"/>
    <w:rsid w:val="008D6B47"/>
    <w:rsid w:val="008D74F3"/>
    <w:rsid w:val="008D7B51"/>
    <w:rsid w:val="008E68EB"/>
    <w:rsid w:val="008F4961"/>
    <w:rsid w:val="008F7BB7"/>
    <w:rsid w:val="008F7BFF"/>
    <w:rsid w:val="00913357"/>
    <w:rsid w:val="00920E6D"/>
    <w:rsid w:val="00930DC2"/>
    <w:rsid w:val="00932785"/>
    <w:rsid w:val="00936566"/>
    <w:rsid w:val="00937A6A"/>
    <w:rsid w:val="009416B1"/>
    <w:rsid w:val="00941B67"/>
    <w:rsid w:val="00964F8A"/>
    <w:rsid w:val="0097404D"/>
    <w:rsid w:val="0097539D"/>
    <w:rsid w:val="00981FF1"/>
    <w:rsid w:val="00990CAC"/>
    <w:rsid w:val="00991B27"/>
    <w:rsid w:val="00995A67"/>
    <w:rsid w:val="009A329E"/>
    <w:rsid w:val="009A61C0"/>
    <w:rsid w:val="009B3A1E"/>
    <w:rsid w:val="009C6FB5"/>
    <w:rsid w:val="009C7F61"/>
    <w:rsid w:val="009D692A"/>
    <w:rsid w:val="009D73ED"/>
    <w:rsid w:val="009F53D8"/>
    <w:rsid w:val="009F66E1"/>
    <w:rsid w:val="00A02952"/>
    <w:rsid w:val="00A041B3"/>
    <w:rsid w:val="00A0446F"/>
    <w:rsid w:val="00A17EFB"/>
    <w:rsid w:val="00A31A2C"/>
    <w:rsid w:val="00A3393C"/>
    <w:rsid w:val="00A450D3"/>
    <w:rsid w:val="00A45D44"/>
    <w:rsid w:val="00A47A74"/>
    <w:rsid w:val="00A5161E"/>
    <w:rsid w:val="00A568D6"/>
    <w:rsid w:val="00A66BB4"/>
    <w:rsid w:val="00A757EA"/>
    <w:rsid w:val="00A84490"/>
    <w:rsid w:val="00A93925"/>
    <w:rsid w:val="00A9690A"/>
    <w:rsid w:val="00AA1E18"/>
    <w:rsid w:val="00AA75FB"/>
    <w:rsid w:val="00AB2C63"/>
    <w:rsid w:val="00AC3369"/>
    <w:rsid w:val="00AC44B1"/>
    <w:rsid w:val="00AD027B"/>
    <w:rsid w:val="00AD3EB7"/>
    <w:rsid w:val="00AE31FE"/>
    <w:rsid w:val="00AE77D9"/>
    <w:rsid w:val="00AF046F"/>
    <w:rsid w:val="00AF05D3"/>
    <w:rsid w:val="00AF77F9"/>
    <w:rsid w:val="00B01420"/>
    <w:rsid w:val="00B20FCA"/>
    <w:rsid w:val="00B24351"/>
    <w:rsid w:val="00B248B2"/>
    <w:rsid w:val="00B26DEC"/>
    <w:rsid w:val="00B30311"/>
    <w:rsid w:val="00B3663B"/>
    <w:rsid w:val="00B46649"/>
    <w:rsid w:val="00B46C62"/>
    <w:rsid w:val="00B525E0"/>
    <w:rsid w:val="00B5409D"/>
    <w:rsid w:val="00B55A1D"/>
    <w:rsid w:val="00B644E0"/>
    <w:rsid w:val="00B66F1C"/>
    <w:rsid w:val="00B70B23"/>
    <w:rsid w:val="00B80ECA"/>
    <w:rsid w:val="00B8712D"/>
    <w:rsid w:val="00B87B34"/>
    <w:rsid w:val="00B94EBD"/>
    <w:rsid w:val="00BA5441"/>
    <w:rsid w:val="00BB3C76"/>
    <w:rsid w:val="00BB74A1"/>
    <w:rsid w:val="00BC1E91"/>
    <w:rsid w:val="00BC67CE"/>
    <w:rsid w:val="00BC75E5"/>
    <w:rsid w:val="00BE581E"/>
    <w:rsid w:val="00BF0774"/>
    <w:rsid w:val="00BF16FD"/>
    <w:rsid w:val="00C004F7"/>
    <w:rsid w:val="00C05912"/>
    <w:rsid w:val="00C06B13"/>
    <w:rsid w:val="00C3664A"/>
    <w:rsid w:val="00C4187C"/>
    <w:rsid w:val="00C41D41"/>
    <w:rsid w:val="00C47732"/>
    <w:rsid w:val="00C507B7"/>
    <w:rsid w:val="00C53E3A"/>
    <w:rsid w:val="00C56430"/>
    <w:rsid w:val="00C61F8A"/>
    <w:rsid w:val="00C66871"/>
    <w:rsid w:val="00C66E15"/>
    <w:rsid w:val="00C84B84"/>
    <w:rsid w:val="00CA0E98"/>
    <w:rsid w:val="00CA18FA"/>
    <w:rsid w:val="00CA6965"/>
    <w:rsid w:val="00CB41CB"/>
    <w:rsid w:val="00CB52AC"/>
    <w:rsid w:val="00CC0E15"/>
    <w:rsid w:val="00CC6ECC"/>
    <w:rsid w:val="00CD12B5"/>
    <w:rsid w:val="00CD3BF0"/>
    <w:rsid w:val="00CD4B20"/>
    <w:rsid w:val="00CE2841"/>
    <w:rsid w:val="00CE6B2F"/>
    <w:rsid w:val="00CE70EC"/>
    <w:rsid w:val="00CE7567"/>
    <w:rsid w:val="00CF3F85"/>
    <w:rsid w:val="00CF5FFA"/>
    <w:rsid w:val="00CF743D"/>
    <w:rsid w:val="00D02D2F"/>
    <w:rsid w:val="00D06352"/>
    <w:rsid w:val="00D15B38"/>
    <w:rsid w:val="00D243FA"/>
    <w:rsid w:val="00D26761"/>
    <w:rsid w:val="00D30F44"/>
    <w:rsid w:val="00D42A73"/>
    <w:rsid w:val="00D56512"/>
    <w:rsid w:val="00D81817"/>
    <w:rsid w:val="00D86E15"/>
    <w:rsid w:val="00D86FBE"/>
    <w:rsid w:val="00D872C8"/>
    <w:rsid w:val="00D95CC3"/>
    <w:rsid w:val="00DB3AD8"/>
    <w:rsid w:val="00DC421B"/>
    <w:rsid w:val="00DD25B5"/>
    <w:rsid w:val="00DD4B8F"/>
    <w:rsid w:val="00DD4D1B"/>
    <w:rsid w:val="00DD7985"/>
    <w:rsid w:val="00DE534B"/>
    <w:rsid w:val="00DE775F"/>
    <w:rsid w:val="00E12A13"/>
    <w:rsid w:val="00E13AA2"/>
    <w:rsid w:val="00E1425D"/>
    <w:rsid w:val="00E23899"/>
    <w:rsid w:val="00E24C43"/>
    <w:rsid w:val="00E25358"/>
    <w:rsid w:val="00E35052"/>
    <w:rsid w:val="00E35260"/>
    <w:rsid w:val="00E36F11"/>
    <w:rsid w:val="00E407EC"/>
    <w:rsid w:val="00E42B69"/>
    <w:rsid w:val="00E512D0"/>
    <w:rsid w:val="00E55937"/>
    <w:rsid w:val="00E600A5"/>
    <w:rsid w:val="00E62E50"/>
    <w:rsid w:val="00E7212C"/>
    <w:rsid w:val="00E721D8"/>
    <w:rsid w:val="00E75DAD"/>
    <w:rsid w:val="00E81E27"/>
    <w:rsid w:val="00E85DAF"/>
    <w:rsid w:val="00E94DD0"/>
    <w:rsid w:val="00E97C16"/>
    <w:rsid w:val="00EA1DEA"/>
    <w:rsid w:val="00EA5ECC"/>
    <w:rsid w:val="00EA6289"/>
    <w:rsid w:val="00EA7569"/>
    <w:rsid w:val="00EA7AF1"/>
    <w:rsid w:val="00EC1619"/>
    <w:rsid w:val="00ED0DAD"/>
    <w:rsid w:val="00ED1DFA"/>
    <w:rsid w:val="00ED4D66"/>
    <w:rsid w:val="00EE1E45"/>
    <w:rsid w:val="00EE7C47"/>
    <w:rsid w:val="00EF045F"/>
    <w:rsid w:val="00EF28E8"/>
    <w:rsid w:val="00EF3607"/>
    <w:rsid w:val="00EF6942"/>
    <w:rsid w:val="00F10E48"/>
    <w:rsid w:val="00F1191B"/>
    <w:rsid w:val="00F25343"/>
    <w:rsid w:val="00F32021"/>
    <w:rsid w:val="00F426B6"/>
    <w:rsid w:val="00F50F65"/>
    <w:rsid w:val="00F546E5"/>
    <w:rsid w:val="00F6461A"/>
    <w:rsid w:val="00F728CA"/>
    <w:rsid w:val="00F72DA9"/>
    <w:rsid w:val="00F745BD"/>
    <w:rsid w:val="00F75B66"/>
    <w:rsid w:val="00F77917"/>
    <w:rsid w:val="00F85EF3"/>
    <w:rsid w:val="00F97BE2"/>
    <w:rsid w:val="00FA370B"/>
    <w:rsid w:val="00FA4DB7"/>
    <w:rsid w:val="00FB6140"/>
    <w:rsid w:val="00FC2F80"/>
    <w:rsid w:val="00FC45B4"/>
    <w:rsid w:val="00FC636D"/>
    <w:rsid w:val="00FD2E55"/>
    <w:rsid w:val="00FD4FC4"/>
    <w:rsid w:val="00FD63E9"/>
    <w:rsid w:val="00FE2EC7"/>
    <w:rsid w:val="00FE48A5"/>
    <w:rsid w:val="00FE6E25"/>
    <w:rsid w:val="00FF7B4E"/>
    <w:rsid w:val="03950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hr-H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3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536"/>
        <w:tab w:val="right" w:pos="9072"/>
      </w:tabs>
    </w:pPr>
  </w:style>
  <w:style w:type="paragraph" w:styleId="6">
    <w:name w:val="header"/>
    <w:basedOn w:val="1"/>
    <w:link w:val="11"/>
    <w:unhideWhenUsed/>
    <w:qFormat/>
    <w:uiPriority w:val="99"/>
    <w:pPr>
      <w:tabs>
        <w:tab w:val="center" w:pos="4536"/>
        <w:tab w:val="right" w:pos="9072"/>
      </w:tabs>
    </w:pPr>
  </w:style>
  <w:style w:type="character" w:styleId="7">
    <w:name w:val="Hyperlink"/>
    <w:basedOn w:val="2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table" w:styleId="8">
    <w:name w:val="Table Grid"/>
    <w:basedOn w:val="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">
    <w:name w:val="Medium Grid 3 Accent 5"/>
    <w:basedOn w:val="3"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paragraph" w:styleId="10">
    <w:name w:val="List Paragraph"/>
    <w:basedOn w:val="1"/>
    <w:qFormat/>
    <w:uiPriority w:val="34"/>
    <w:pPr>
      <w:ind w:left="720"/>
      <w:contextualSpacing/>
    </w:pPr>
  </w:style>
  <w:style w:type="character" w:customStyle="1" w:styleId="11">
    <w:name w:val="Zaglavlje Char"/>
    <w:basedOn w:val="2"/>
    <w:link w:val="6"/>
    <w:qFormat/>
    <w:uiPriority w:val="99"/>
  </w:style>
  <w:style w:type="character" w:customStyle="1" w:styleId="12">
    <w:name w:val="Podnožje Char"/>
    <w:basedOn w:val="2"/>
    <w:link w:val="5"/>
    <w:qFormat/>
    <w:uiPriority w:val="99"/>
  </w:style>
  <w:style w:type="character" w:customStyle="1" w:styleId="13">
    <w:name w:val="Tekst balončića Char"/>
    <w:basedOn w:val="2"/>
    <w:link w:val="4"/>
    <w:semiHidden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01804-A847-43ED-8431-84E738F907F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1171</Words>
  <Characters>7544</Characters>
  <Lines>123</Lines>
  <Paragraphs>34</Paragraphs>
  <TotalTime>337</TotalTime>
  <ScaleCrop>false</ScaleCrop>
  <LinksUpToDate>false</LinksUpToDate>
  <CharactersWithSpaces>10280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2026-04-28T17:57:00Z</dcterms:created>
  <dc:creator>Korisnik</dc:creator>
  <cp:lastModifiedBy>Korisnik</cp:lastModifiedBy>
  <cp:lastPrinted>2020-06-09T11:31:00Z</cp:lastPrinted>
  <dcterms:modified xsi:type="dcterms:W3CDTF">2026-06-02T17:12:40Z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eyJoZGlkIjoiYTkxY2M4YThmZTYxZTU5MzFkMDU5NjA2NzQxNzY2YTEifQ==</vt:lpwstr>
  </property>
  <property fmtid="{D5CDD505-2E9C-101B-9397-08002B2CF9AE}" pid="3" name="KSOProductBuildVer">
    <vt:lpwstr>1033-12.1.0.26880</vt:lpwstr>
  </property>
  <property fmtid="{D5CDD505-2E9C-101B-9397-08002B2CF9AE}" pid="4" name="ICV">
    <vt:lpwstr>E7DB50FF663A48D8B09A1C71C9F583B4_12</vt:lpwstr>
  </property>
</Properties>
</file>